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bCs/>
          <w:sz w:val="32"/>
          <w:szCs w:val="32"/>
        </w:rPr>
      </w:pPr>
      <w:r>
        <w:rPr>
          <w:rFonts w:eastAsia="黑体"/>
          <w:bCs/>
          <w:sz w:val="32"/>
          <w:szCs w:val="32"/>
        </w:rPr>
        <w:t>附件</w:t>
      </w:r>
    </w:p>
    <w:p>
      <w:pPr>
        <w:spacing w:line="580" w:lineRule="exact"/>
        <w:rPr>
          <w:rFonts w:eastAsia="黑体"/>
          <w:bCs/>
          <w:sz w:val="32"/>
          <w:szCs w:val="32"/>
        </w:rPr>
      </w:pPr>
    </w:p>
    <w:p>
      <w:pPr>
        <w:spacing w:line="580" w:lineRule="exact"/>
        <w:jc w:val="center"/>
        <w:textAlignment w:val="top"/>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2020年福建省成人高等学校考试招生规定</w:t>
      </w:r>
      <w:bookmarkEnd w:id="0"/>
    </w:p>
    <w:p>
      <w:pPr>
        <w:spacing w:line="580" w:lineRule="exact"/>
        <w:ind w:firstLine="640" w:firstLineChars="200"/>
        <w:rPr>
          <w:rStyle w:val="5"/>
          <w:rFonts w:ascii="仿宋_GB2312" w:hAnsi="仿宋_GB2312" w:eastAsia="仿宋_GB2312" w:cs="仿宋_GB2312"/>
          <w:b w:val="0"/>
          <w:bCs/>
          <w:sz w:val="32"/>
          <w:szCs w:val="32"/>
        </w:rPr>
      </w:pP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根据教育部办公厅《关于做好2020年全国成人高校招生工作的通知》（教学厅〔2020〕11号），结合我省实际情况，特制定本规定。</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一、招生学校</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经教育部和福建省教育厅批准下达成人高等学历教育招生计划的院校,并由福建省教育考试院统一向社会公布招生专业后，方可在我省招生。</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实行全国统一招生的各有关高校应依照《中华人民共和国教育法》《中华人民共和国高等教育法》以及教育部和福建省有关招生政策规定，制订本学校招生章程，并向社会公布。招生章程必须如实反映本校的实际情况，内容应包括招生范围、学习形式、学制和年限、办学地点、录取原则、收费标准以及加试科目的时间、地点等。各有关高校应对招生章程的内容承担相应责任，并负责处理遗留问题。</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二、招生计划</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成人高等学历教育招生计划分为专科起点升本科（以下简称专升本）、高中起点升本科（以下简称高起本）和高中起点升专科（以下简称高起专）3种。省教育厅审核招生专业和招生计划，省教育考试院负责向社会公布招生学校和招生专业。</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三、报名</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（一）报名条件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符合下列条件的中国公民均可报名：</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1.遵守中华人民共和国宪法和法律。</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2.国家承认学历的各类高、中等学校在校生以外的从业人员和社会其他人员。</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3.身体健康，生活能自理，不影响所报专业学习。</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报考高起本或高起专的考生应具有高中毕业文化程度。报考专升本的考生必须是已取得经教育部审定核准的国民教育系列高等学校、高等教育自学考试机构颁发的专科毕业证书、本科结业证书或以上证书的人员。</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5.报考成人高校医学门类专业的考生还应具备以下条件：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报考临床医学、口腔医学、预防医学、中医学等临床类专业的人员，应取得省级卫生行政部门颁发的相应类别的执业助理医师及以上资格证书；或者县级及以上卫生行政部门颁发的乡村医生执业证书并具有中专学历或中专水平证书。</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（2）报考护理学专业的人员应取得省级卫生行政部门颁发的执业护士证书。</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（3）报考医学门类其他专业的人员应当是从事卫生、医药行业工作的在职专业技术人员。</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（4）考生报考的专业原则上应与所从事的专业对口。</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6.在中国定居并符合上述报名条件的外国侨民，持所在省（区、市）公安机关填发的《外国人永久居留证》或《外侨居留证》参加报名。</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（二）报名时间</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我省成人高校考试招生采取网上报名的方式，分为网上信息输入和现场信息确认两个阶段。</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1.网上信息输入时间：9月</w:t>
      </w:r>
      <w:r>
        <w:rPr>
          <w:rStyle w:val="5"/>
          <w:rFonts w:hint="eastAsia" w:ascii="仿宋_GB2312" w:hAnsi="仿宋_GB2312" w:eastAsia="仿宋_GB2312" w:cs="仿宋_GB2312"/>
          <w:b w:val="0"/>
          <w:bCs/>
          <w:sz w:val="32"/>
          <w:szCs w:val="32"/>
          <w:lang w:val="en-US" w:eastAsia="zh-CN"/>
        </w:rPr>
        <w:t>5</w:t>
      </w:r>
      <w:r>
        <w:rPr>
          <w:rStyle w:val="5"/>
          <w:rFonts w:hint="eastAsia" w:ascii="仿宋_GB2312" w:hAnsi="仿宋_GB2312" w:eastAsia="仿宋_GB2312" w:cs="仿宋_GB2312"/>
          <w:b w:val="0"/>
          <w:bCs/>
          <w:sz w:val="32"/>
          <w:szCs w:val="32"/>
        </w:rPr>
        <w:t>日9:00--9月</w:t>
      </w:r>
      <w:r>
        <w:rPr>
          <w:rStyle w:val="5"/>
          <w:rFonts w:hint="eastAsia" w:ascii="仿宋_GB2312" w:hAnsi="仿宋_GB2312" w:eastAsia="仿宋_GB2312" w:cs="仿宋_GB2312"/>
          <w:b w:val="0"/>
          <w:bCs/>
          <w:sz w:val="32"/>
          <w:szCs w:val="32"/>
          <w:lang w:val="en-US" w:eastAsia="zh-CN"/>
        </w:rPr>
        <w:t>9</w:t>
      </w:r>
      <w:r>
        <w:rPr>
          <w:rStyle w:val="5"/>
          <w:rFonts w:hint="eastAsia" w:ascii="仿宋_GB2312" w:hAnsi="仿宋_GB2312" w:eastAsia="仿宋_GB2312" w:cs="仿宋_GB2312"/>
          <w:b w:val="0"/>
          <w:bCs/>
          <w:sz w:val="32"/>
          <w:szCs w:val="32"/>
        </w:rPr>
        <w:t>日18:00；</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2.现场信息确认时间：9月8日--9月1</w:t>
      </w:r>
      <w:r>
        <w:rPr>
          <w:rStyle w:val="5"/>
          <w:rFonts w:hint="eastAsia" w:ascii="仿宋_GB2312" w:hAnsi="仿宋_GB2312" w:eastAsia="仿宋_GB2312" w:cs="仿宋_GB2312"/>
          <w:b w:val="0"/>
          <w:bCs/>
          <w:sz w:val="32"/>
          <w:szCs w:val="32"/>
          <w:lang w:val="en-US" w:eastAsia="zh-CN"/>
        </w:rPr>
        <w:t>4</w:t>
      </w:r>
      <w:r>
        <w:rPr>
          <w:rStyle w:val="5"/>
          <w:rFonts w:hint="eastAsia" w:ascii="仿宋_GB2312" w:hAnsi="仿宋_GB2312" w:eastAsia="仿宋_GB2312" w:cs="仿宋_GB2312"/>
          <w:b w:val="0"/>
          <w:bCs/>
          <w:sz w:val="32"/>
          <w:szCs w:val="32"/>
        </w:rPr>
        <w:t>日。</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(三)报名方式</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考生登陆福建省教育考试院网站（http://www.eeafj</w:t>
      </w:r>
    </w:p>
    <w:p>
      <w:pPr>
        <w:spacing w:line="580" w:lineRule="exact"/>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.cn）-“数字服务大厅”-“成考成招”-“网上报名系统”，认真阅读《2020年福建省成人高等学校考试招生规定》、院校招生专业目录和有关说明。</w:t>
      </w:r>
    </w:p>
    <w:p>
      <w:pPr>
        <w:spacing w:line="580" w:lineRule="exact"/>
        <w:ind w:firstLine="643" w:firstLineChars="200"/>
        <w:rPr>
          <w:rStyle w:val="5"/>
          <w:rFonts w:ascii="仿宋_GB2312" w:hAnsi="仿宋_GB2312" w:eastAsia="仿宋_GB2312" w:cs="仿宋_GB2312"/>
          <w:sz w:val="32"/>
          <w:szCs w:val="32"/>
        </w:rPr>
      </w:pPr>
      <w:r>
        <w:rPr>
          <w:rStyle w:val="5"/>
          <w:rFonts w:hint="eastAsia" w:ascii="仿宋_GB2312" w:hAnsi="仿宋_GB2312" w:eastAsia="仿宋_GB2312" w:cs="仿宋_GB2312"/>
          <w:sz w:val="32"/>
          <w:szCs w:val="32"/>
        </w:rPr>
        <w:t>1.网上信息输入（含专业志愿）</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（1）按照网页的提示和要求，考生签订网上报名协议、《考试诚信承诺书》，准确输入个人基本信息（姓名、二代身份证号码、手机号、通讯地址等）和报考院校及专业志愿信息。每位考生只能报名1次。</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（2）考生一般应选择户口（或工作单位）所在地作为报名信息确认点和考试地点。所有参加全国统考、单考和免试入学的考生均需办理报名手续。</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（3）考生核对自己输入信息无误后确认提交，并在现场确认前完成网上缴费。网上缴费截止时间为9月1</w:t>
      </w:r>
      <w:r>
        <w:rPr>
          <w:rStyle w:val="5"/>
          <w:rFonts w:hint="eastAsia" w:ascii="仿宋_GB2312" w:hAnsi="仿宋_GB2312" w:eastAsia="仿宋_GB2312" w:cs="仿宋_GB2312"/>
          <w:b w:val="0"/>
          <w:bCs/>
          <w:sz w:val="32"/>
          <w:szCs w:val="32"/>
          <w:lang w:val="en-US" w:eastAsia="zh-CN"/>
        </w:rPr>
        <w:t>3</w:t>
      </w:r>
      <w:r>
        <w:rPr>
          <w:rStyle w:val="5"/>
          <w:rFonts w:hint="eastAsia" w:ascii="仿宋_GB2312" w:hAnsi="仿宋_GB2312" w:eastAsia="仿宋_GB2312" w:cs="仿宋_GB2312"/>
          <w:b w:val="0"/>
          <w:bCs/>
          <w:sz w:val="32"/>
          <w:szCs w:val="32"/>
        </w:rPr>
        <w:t>日18:00。报名系统将通过教育部学信网对专升本考生进行网上学历验证。考生需记下系统给出的网上报名号ID，并牢记本人亲自设定的账号、密码（此账号密码还将适用于考生成绩查询、第二次专业志愿确认、录取信息查询和填报征求志愿等，须妥为保管）。</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2.志愿填报注意事项</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（1）专升本、高起本和高起专的考生可分别填报2个院校，每个院校填报1个专业志愿。其中报考高起本的考生，也可兼报相同科类的高起专院校专业。</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招生计划备注栏内的招生范围注明限招“系统职工”、“委培单位人员”的属限招条件；“面向××地区招生”是指面向在该地区生活和工作的人员，户口不限制；没有注明的即面向全省招生。院校学习形式为业余的主要是面向本地区招生。</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（3）在现场信息确认前，考生如需修改志愿信息，可凭自己的账号及密码上网修改。但经考生本人现场确认后的报考志愿信息，不得更改。</w:t>
      </w:r>
    </w:p>
    <w:p>
      <w:pPr>
        <w:spacing w:line="580" w:lineRule="exact"/>
        <w:ind w:firstLine="643" w:firstLineChars="200"/>
        <w:rPr>
          <w:rStyle w:val="5"/>
          <w:rFonts w:ascii="仿宋_GB2312" w:hAnsi="仿宋_GB2312" w:eastAsia="仿宋_GB2312" w:cs="仿宋_GB2312"/>
          <w:sz w:val="32"/>
          <w:szCs w:val="32"/>
        </w:rPr>
      </w:pPr>
      <w:r>
        <w:rPr>
          <w:rStyle w:val="5"/>
          <w:rFonts w:hint="eastAsia" w:ascii="仿宋_GB2312" w:hAnsi="仿宋_GB2312" w:eastAsia="仿宋_GB2312" w:cs="仿宋_GB2312"/>
          <w:sz w:val="32"/>
          <w:szCs w:val="32"/>
        </w:rPr>
        <w:t>3.现场信息确认（含第一次专业志愿确认）</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现场信息确认手续必须由考生本人办理。考生按选定的时间，到已选择的信息确认点，凭本人的网上预报名个人信息单进行报名信息核对确认，办理现场信息确认手续。凡未在规定时间内进行现场信息确认的，视为本人自动放弃本次考试报名，报考费不退。</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（2）交验有关证件、证明及复印件。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（3）采集个人照片信息。</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（4）核对网上报名信息确认表，核对无误并签字后交现场确认点存档。</w:t>
      </w:r>
    </w:p>
    <w:p>
      <w:pPr>
        <w:spacing w:line="580" w:lineRule="exact"/>
        <w:ind w:firstLine="643" w:firstLineChars="200"/>
        <w:rPr>
          <w:rStyle w:val="5"/>
          <w:rFonts w:ascii="仿宋_GB2312" w:hAnsi="仿宋_GB2312" w:eastAsia="仿宋_GB2312" w:cs="仿宋_GB2312"/>
          <w:sz w:val="32"/>
          <w:szCs w:val="32"/>
        </w:rPr>
      </w:pPr>
      <w:r>
        <w:rPr>
          <w:rStyle w:val="5"/>
          <w:rFonts w:hint="eastAsia" w:ascii="仿宋_GB2312" w:hAnsi="仿宋_GB2312" w:eastAsia="仿宋_GB2312" w:cs="仿宋_GB2312"/>
          <w:sz w:val="32"/>
          <w:szCs w:val="32"/>
        </w:rPr>
        <w:t>4.现场信息确认有关要求及交验材料（逾期无效）</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（1）考生须携带本人二代居民身份证。无二代居民身份证者不能报考。外省籍户口的考生还须持工作单位证明。</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报考专升本的考生，须持经教育部审定核准的国民教育系列高等学校或高等教育自学考试机构颁发的大学专科及以上毕业证书、本科结业证书原件和复印件；应届成人高校专科毕业生须持所在院校学籍管理部门加盖公章的《福建省成人高等学校应届专科毕业生网上报名资格审核表》。网上报名时，学历信息网上验证未通过的考生应于10月13日前向确认点所在市、县（区）教育招生考试机构提交教育部学信网出具的学历认证报告，逾期未提交的考生视为本人自动放弃本次考试报名，报考费不退。</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符合录取照顾政策免试和录取加分投档的考生，须交验原始证件和复印件；申请免试入学的优秀运动员还须交验本人申请书和省体育行政管理部门出具的《优秀运动员免试进入成人高等学校推荐表》；申请加分投档的运动健将和武术项目武英级运动员、一级运动员称号获得者，还须出具省级体育行政管理部门的运动成绩证明。</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（4）自主就业的退役士兵须交验退役证原件及复印件。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（5）普通高职（专科）毕业生服义务兵役退役和“下基层”服务期满后免试接受成人本科教育的考生，须交验毕业证书和义务兵役退役证书；“下基层”服务期满证书和单位证明的原件及复印件。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6）现场确认工作结束后，设区市教育招生考试机构应下载《2020年福建省成人高校考试招生符合照顾政策的考生花名册》并审核，将符合申请免试入学的考生名册及有关证件的复印件加盖公章后报送省教育考试院复核。</w:t>
      </w:r>
    </w:p>
    <w:p>
      <w:pPr>
        <w:spacing w:line="580" w:lineRule="exact"/>
        <w:ind w:firstLine="643"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sz w:val="32"/>
          <w:szCs w:val="32"/>
        </w:rPr>
        <w:t>5.第二次专业志愿网上确认。</w:t>
      </w:r>
      <w:r>
        <w:rPr>
          <w:rStyle w:val="5"/>
          <w:rFonts w:hint="eastAsia" w:ascii="仿宋_GB2312" w:hAnsi="仿宋_GB2312" w:eastAsia="仿宋_GB2312" w:cs="仿宋_GB2312"/>
          <w:b w:val="0"/>
          <w:bCs/>
          <w:sz w:val="32"/>
          <w:szCs w:val="32"/>
        </w:rPr>
        <w:t>时间：11月25日9:00-11月27日18:00。各成人高校根据考生报名情况编制专业招生计划，部分专业可能因报考人数原因，未下达招生计划，报名时选择该专业的考生，相应志愿将失效。请考生在规定时间登陆报名网站，认真查看公布的院校招生计划数，凭个人账号密码对报名时填报的专业志愿信息进行第二次确认，考生可对报名时填报的专业志愿进行调整。</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（四）报名信息采集标准</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报名信息采集工作按照教育部有关规定和《各类成人高等学校招生工作管理信息标准》执行。</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（五）报名考务费用</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按省物价局、省财政厅闽价函〔2018〕364号文件核定的收费标准，考生应交纳报名考务费每生160元。</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（六）报名组织</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现场信息确认工作由市、县（区）教育招生考试机构负责组织实施。各市、县（区）教育招生考试机构应根据实际情况，合理设置本地区的现场信息确认点，向社会公布，并报省教育考试院备案。</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四、考试</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（一）考试日期</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全国成人高等学校招生统一考试日期为10月24日-25日，具体时间安排见附件</w:t>
      </w:r>
      <w:r>
        <w:rPr>
          <w:rStyle w:val="5"/>
          <w:rFonts w:hint="eastAsia" w:ascii="仿宋_GB2312" w:hAnsi="仿宋_GB2312" w:eastAsia="仿宋_GB2312" w:cs="仿宋_GB2312"/>
          <w:b w:val="0"/>
          <w:bCs/>
          <w:sz w:val="32"/>
          <w:szCs w:val="32"/>
          <w:lang w:val="en-US" w:eastAsia="zh-CN"/>
        </w:rPr>
        <w:t>1。</w:t>
      </w:r>
      <w:r>
        <w:rPr>
          <w:rStyle w:val="5"/>
          <w:rFonts w:hint="eastAsia" w:ascii="仿宋_GB2312" w:hAnsi="仿宋_GB2312" w:eastAsia="仿宋_GB2312" w:cs="仿宋_GB2312"/>
          <w:b w:val="0"/>
          <w:bCs/>
          <w:sz w:val="32"/>
          <w:szCs w:val="32"/>
          <w:lang w:eastAsia="zh-CN"/>
        </w:rPr>
        <w:t>报名及志愿填报时间安排见附件</w:t>
      </w:r>
      <w:r>
        <w:rPr>
          <w:rStyle w:val="5"/>
          <w:rFonts w:hint="eastAsia" w:ascii="仿宋_GB2312" w:hAnsi="仿宋_GB2312" w:eastAsia="仿宋_GB2312" w:cs="仿宋_GB2312"/>
          <w:b w:val="0"/>
          <w:bCs/>
          <w:sz w:val="32"/>
          <w:szCs w:val="32"/>
          <w:lang w:val="en-US" w:eastAsia="zh-CN"/>
        </w:rPr>
        <w:t>2。</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（二）考试科目</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高起本、高起专考试按文科、理科分别设置统考科目。公共课统考科目均为语文、数学、英语等3门，其中数学分文科类、理科类两种。报考高起本的考生，除参加3门统考公共课的考试外，还须参加专业基础课的考试，理科类专业基础课为“物理、化学综合”（简称理化），文科类专业基础课为“历史、地理综合”（简称史地）。</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2.专升本考试统考科目为政治、英语和一门专业基础课。考试科目对照表见附件3。</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（三）考试内容及时长</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统考科目由教育部依据2011年版《全国各类成人高等学校招生复习考试大纲》的要求进行命题。所有统考科目每科试题满分均为150分；高起本、高起专的统考科目每科考试时长为120分钟，专升本每科考试时长为150分钟。</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（四）试卷形式</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我省高起本、高起专以及专升本的统考科目全部实行网上阅卷评分，采用答题卡作答方式。</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（五）专业加试</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报考高中起点艺术、体育类专业的考生须参加招生学校组织的专业考试。相关成人高校必须组织专业加试，不得以任何理由推托。报考专升本艺术、体育类专业的考生是否加试专业课，由招生学校自行确定。其它专业是否加试由各有关高校自行确定。</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2.加试科目：美术专业《素描》、《色彩》；音乐专业：《声乐》、《器乐》；体育专业：《100米跑》、《铅球》、《立定跳远》。</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3.考生持艺术（体育）专业准考证和二代居民身份证在学校规定时间内参加所报考第一志愿学校的专业加试。</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4.成人高校进行专业加试必须在省教育考试院向社会公布的招生生源计划中注明，并自行命题和组织考试。考生的专业加试成绩及确定的加试合格考生名单必须在11月5日前报送省教育考试院备案。</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5.加试科目成绩不计入总分，但录取时院校必须确定合格标准。</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（六）考试组织</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成人高考工作在省招委会、省教育厅领导下，由省教育考试院组织实施，各设区市具体组织实施和管理本地区的考试工作。考区设在设区市人民政府所在地，考点全部安排在国家教育考试标准化考点。考生准考证号由省教育考试院组织全省统一随机编排生成。</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10月16日9:00-10月21日18:00，考生须登录报名网站打印准考证。</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成人高校招生考试属国家教育考试，试卷、参考答案和评分参考（包括备用卷、答题卡等）在启用之前属国家绝密材料，应加强安全保密设施建设，完善安全保密规章制度和岗位责任制，认真做好试卷运送、保管、分发、施考的安全保密工作，确保考试安全。</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考试期间，考生须携带准考证和二代居民身份证入场，考生应遵守《考场规则》和其它有关规定，对违纪作弊者依据《国家教育考试违规处理办法》（教育部令第33号）进行处理。对存在组织作弊、提供作弊器材、出售考题及答案、替考等涉嫌犯罪的严重作弊或扰乱考试秩序的行为，移送司法机关依法追究刑事责任。</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各级教育招生考试机构要切实加强对考生遵纪守法和诚信考试的宣传教育，加强对考试工作的组织领导。要坚持做好考试工作人员警示教育和岗前培训，持证上岗，未经培训不得从事监考工作和其它与考试相关的工作；要严格执行选聘和回避制度，严防徇私舞弊和违规违纪现象的发生。任何高校、机构和个人不得组织考生跨省参加成人高考。</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（七）阅卷及成绩查询</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我省成人高校招生全国统一考试全部实行网上阅卷。阅卷工作由省招委会、省教育厅组织统一进行，实行评卷院校负责制的管理体制。考生成绩由本人凭账号密码登陆报名网站查询，不公布，不对考生查卷。</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五、录取</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（一）录取形式、时间</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我省成人高校招生工作全部实行计算机网上录取。录取工作分常规志愿录取和征求志愿录取两个阶段。招生录取工作从11月30日正式开始，12月15日结束，具体时间安排如下：</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1.11月30日至12月4日为专升本院校录取；11月30日为高起本院校录取；12月1日至4日为高起专院校录取。</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2.12月5日9:00至6日18:00为网上填报征求志愿时间，凡未录取的考生可登陆福建省教育考试院网站填报征求志愿。</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3.12月7日至15日为征求志愿录取。</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（二）录取工作机制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录取工作实行“招生院校负责，省教育考试院监督”制度，即：在符合成人高校招生报名条件，考试成绩达到投档分数线的考生中，招生学校根据“从高分到低分择优录取”的原则，决定考生录取与否和录取的专业，同时负责对遗留问题的处理。省教育考试院在录取时，根据国家招生政策对录取名单进行审核，对不符合招生政策的情况予以纠正。各招生院校要充分发挥校内纪检、监察部门的作用，加强校内自我监督，建立健全自我约束机制。</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（三）录取控制分数线</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录取控制分数线由省教育厅按分科类招生计划数划定。其中：高起本、高起专的艺术类专业（除史论、编导类专业外）和体育类专业的文考控制分数线不得低于相应招生类型和考试科类控制分数线的70%，艺术类、体育类高起本、高起专考生数学成绩不计入总分，由招生学校录取时作为参考；高起专的公安类成人高校的全部专业、医学（药学类除外）专业和中央司法警官学院的监狱管理专业、劳教管理专业，如上线生源不足可适当降低控制分数线，但不得低于相应考试科类控制分数线的70%。专升本和高起本的录取控制分数线须报教育部备案。</w:t>
      </w:r>
    </w:p>
    <w:p>
      <w:pPr>
        <w:spacing w:line="580" w:lineRule="exact"/>
        <w:ind w:firstLine="643" w:firstLineChars="200"/>
        <w:rPr>
          <w:rStyle w:val="5"/>
          <w:rFonts w:ascii="楷体_GB2312" w:hAnsi="楷体_GB2312" w:eastAsia="楷体_GB2312" w:cs="楷体_GB2312"/>
          <w:sz w:val="32"/>
          <w:szCs w:val="32"/>
        </w:rPr>
      </w:pPr>
      <w:r>
        <w:rPr>
          <w:rStyle w:val="5"/>
          <w:rFonts w:hint="eastAsia" w:ascii="楷体_GB2312" w:hAnsi="楷体_GB2312" w:eastAsia="楷体_GB2312" w:cs="楷体_GB2312"/>
          <w:sz w:val="32"/>
          <w:szCs w:val="32"/>
        </w:rPr>
        <w:t>（四）投档审录</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录取时，省教育考试院根据考生志愿顺序将上线的考生电子档案材料向招生学校全部投档，学校按专业志愿择优录取。如上线生源不足，招生学校可提出降分申请，经批准，适当降分投档，降分幅度最大不超过20分。</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艺术类和体育类专业在考生文化课统考成绩达到录取控制分数线的基础上，按招生学校的加试专业课成绩从高分到低分择优录取。</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录取新生名单由招生院校提出、省教育考试院审核。招生学校按审核后的录取名单，负责将录取通知书寄达考生本人。</w:t>
      </w:r>
    </w:p>
    <w:p>
      <w:pPr>
        <w:spacing w:line="580" w:lineRule="exact"/>
        <w:ind w:firstLine="640" w:firstLineChars="200"/>
        <w:rPr>
          <w:rStyle w:val="5"/>
          <w:rFonts w:ascii="黑体" w:hAnsi="黑体" w:eastAsia="黑体" w:cs="黑体"/>
          <w:b w:val="0"/>
          <w:bCs/>
          <w:sz w:val="32"/>
          <w:szCs w:val="32"/>
        </w:rPr>
      </w:pPr>
      <w:r>
        <w:rPr>
          <w:rStyle w:val="5"/>
          <w:rFonts w:hint="eastAsia" w:ascii="黑体" w:hAnsi="黑体" w:eastAsia="黑体" w:cs="黑体"/>
          <w:b w:val="0"/>
          <w:bCs/>
          <w:sz w:val="32"/>
          <w:szCs w:val="32"/>
        </w:rPr>
        <w:t>六、录取照顾政策</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（一）获得“全国劳动模范”、“全国先进工作者”称号、“全国‘五一’劳动奖章”获得者，经本人申请、省教育考试院审核、招生院校同意，可免试入学。</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（二）符合下列条件之一的优秀运动员，经本人申请、省教育考试院审核、招生院校同意，可免试入学。</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1.奥运会、世界杯赛和世界锦标赛的奥运会项目前八名获得者、非奥运会项目前六名获得者。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2.亚运会、亚洲杯赛和亚洲锦标赛的奥运会项目前六名获得者、非奥运会项目前三名获得者。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3.全运会、全国锦标赛和全国冠军赛的奥运会项目前三名获得者、非奥运会项目冠军获得者。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上述运动员报名时必须出具省级体育行政管理部门审核的《优秀运动员申请免试进入成人高等学校学习推荐表》（国家体育总局监制）。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三）参加“选聘高校毕业生到村任职”、“三支一扶”（支教、支农、支医和扶贫）、“大学生志愿服务西部计划”、“农村义务教育阶段学校教师特设岗位计划”等项目服务期满并考核合格，以及应征入伍服义务兵退役的普通高职（专科）毕业生，凭二代身份证、普通高职（专科）毕业证、士兵退役证或相关项目考核合格证，可申请免试就读我省成人高校专升本。</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四）运动健将和武术项目武英级运动员称号获得者（须经省级体育行政部门审核并出具运动成绩证明），可在考生考试成绩基础上增加50分投档（一级运动员称号获得者，可增加30分投档），是否录取由招生学校确定。</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（五）符合下列条件之一的考生，可在考生考试成绩基础上增加20分投档，是否录取由招生学校确定：</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1.获得地级以上（含地级）人民政府、国务院各部委及省（自治区、市）、厅、局系统，国家特大型企业授予的劳动模范、先进生产（工作）者及科技进步（成果）奖获得者。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2.获得省级工、青、妇等组织授予“五一劳动奖章”、“新长征突击手”、“三八红旗手”称号者。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3.解放军、武警部队、公安干警荣立个人三等功以上者。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4.归侨、归侨子女、华侨子女、台湾省籍考生。</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5.烈士子女、烈士配偶。</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6.宁德市、罗源县、连江县、福州市晋安区的北峰山区（日溪乡、宦溪镇）、漳浦县湖西乡、赤岭乡，龙海市隆教乡，永安市青水乡，上杭县官庄乡、庐丰乡，宁化县治平乡的畲族考生；晋江市陈埭镇、惠安县百崎乡的回族考生；华安县高山族聚居点的高山族考生；生活在高山（享受高山补贴）、海岛（无桥梁、海堤与大陆相连）的少数民族考生。国防科技工业三线企业单位（地处地市以上人民政府所在地的除外）获得企业表彰的先进生产（工作）者。</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7.年满25岁以上人员（1995年12月31日前出生）。</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（六）自主就业的退役士兵，省教育考试院可以在考生考试成绩基础上增加10分投档，是否录取由招生学校确定。</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符合上述照顾政策的考生必须于现场确认时交验相应的原始证件。符合上述两项以上照顾政策的考生，其照顾分不得累计。</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七、信息公开公示</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省教育考试院、有关高校应按照教育部要求，分别公开招生政策、高校招生资格、高校招生章程、高校招生计划、考生资格、录取程序、录取结果、咨询及申诉渠道、重大违规事件及处理结果、录取新生复查结果等相关信息。信息公开工作要做到信息采集准确、公开程序规范、内容发布及时。</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八、新生复查</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新生入学注册时间为2021年春季。新生入学时，招生学校应对已报到新生进行复查，严格学籍注册管理。对其中不符合条件或弄虚作假、违纪舞弊者，应按照相关规定取消其入学资格；对不能通过学籍电子注册的专升本新生，必须进行第一学历复核，不能提供经教育部审定核准的国民教育系列高等学校、高等教育自学考试机构颁发的相应层次及以上毕业证书者，由招生学校取消其入学资格，并报省教育考试院备案。</w:t>
      </w:r>
    </w:p>
    <w:p>
      <w:pPr>
        <w:spacing w:line="580" w:lineRule="exact"/>
        <w:ind w:firstLine="643" w:firstLineChars="200"/>
        <w:rPr>
          <w:rStyle w:val="5"/>
          <w:rFonts w:ascii="黑体" w:hAnsi="黑体" w:eastAsia="黑体" w:cs="黑体"/>
          <w:sz w:val="32"/>
          <w:szCs w:val="32"/>
        </w:rPr>
      </w:pPr>
      <w:r>
        <w:rPr>
          <w:rStyle w:val="5"/>
          <w:rFonts w:hint="eastAsia" w:ascii="黑体" w:hAnsi="黑体" w:eastAsia="黑体" w:cs="黑体"/>
          <w:sz w:val="32"/>
          <w:szCs w:val="32"/>
        </w:rPr>
        <w:t>九、其它</w:t>
      </w: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对违反考试有关规定应予处罚的，依照《国家教育考试违规处理办法》（教育部令第33号）执行。对违反招生有关规定应予处罚的，参照《普通高等学校招生违规行为处理暂行办法》（教育部令第36号）执行。对存在组织作弊、提供作弊器材、出售考题及答案、替考等涉嫌犯罪的严重作弊或扰乱考试秩序的行为，要及时固定证据，移送司法机关依法追究刑事责任。</w:t>
      </w:r>
    </w:p>
    <w:p>
      <w:pPr>
        <w:spacing w:line="580" w:lineRule="exact"/>
        <w:ind w:firstLine="640" w:firstLineChars="200"/>
        <w:rPr>
          <w:rStyle w:val="5"/>
          <w:rFonts w:ascii="仿宋_GB2312" w:hAnsi="仿宋_GB2312" w:eastAsia="仿宋_GB2312" w:cs="仿宋_GB2312"/>
          <w:b w:val="0"/>
          <w:bCs/>
          <w:sz w:val="32"/>
          <w:szCs w:val="32"/>
        </w:rPr>
      </w:pPr>
    </w:p>
    <w:p>
      <w:pPr>
        <w:spacing w:line="580" w:lineRule="exact"/>
        <w:ind w:firstLine="640" w:firstLineChars="2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附件：1.2020年全国成人高校招生统一考试时间表</w:t>
      </w:r>
    </w:p>
    <w:p>
      <w:pPr>
        <w:spacing w:line="580" w:lineRule="exact"/>
        <w:ind w:firstLine="1600" w:firstLineChars="5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2.2020年福建省成人高校考试招生报名及志愿</w:t>
      </w:r>
    </w:p>
    <w:p>
      <w:pPr>
        <w:spacing w:line="580" w:lineRule="exact"/>
        <w:ind w:firstLine="1920" w:firstLineChars="6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填报时间安排表</w:t>
      </w:r>
    </w:p>
    <w:p>
      <w:pPr>
        <w:numPr>
          <w:ilvl w:val="0"/>
          <w:numId w:val="1"/>
        </w:numPr>
        <w:spacing w:line="580" w:lineRule="exact"/>
        <w:ind w:firstLine="1600" w:firstLineChars="5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专科起点升本科招生专业与统一考试科目</w:t>
      </w:r>
    </w:p>
    <w:p>
      <w:pPr>
        <w:spacing w:line="580" w:lineRule="exact"/>
        <w:ind w:firstLine="1920" w:firstLineChars="600"/>
        <w:rPr>
          <w:rStyle w:val="5"/>
          <w:rFonts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对照表</w:t>
      </w:r>
    </w:p>
    <w:p>
      <w:pPr>
        <w:spacing w:line="580" w:lineRule="exact"/>
        <w:ind w:firstLine="800" w:firstLineChars="200"/>
        <w:rPr>
          <w:rFonts w:ascii="方正小标宋简体" w:hAnsi="方正小标宋简体" w:eastAsia="方正小标宋简体" w:cs="方正小标宋简体"/>
          <w:bCs/>
          <w:color w:val="000000"/>
          <w:sz w:val="40"/>
          <w:szCs w:val="40"/>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p>
    <w:p>
      <w:pPr>
        <w:spacing w:line="560" w:lineRule="exact"/>
        <w:rPr>
          <w:rFonts w:eastAsia="黑体"/>
          <w:bCs/>
          <w:sz w:val="32"/>
          <w:szCs w:val="32"/>
        </w:rPr>
      </w:pPr>
      <w:r>
        <w:rPr>
          <w:rFonts w:eastAsia="黑体"/>
          <w:bCs/>
          <w:sz w:val="32"/>
          <w:szCs w:val="32"/>
        </w:rPr>
        <w:t>附件</w:t>
      </w:r>
      <w:r>
        <w:rPr>
          <w:rFonts w:hint="eastAsia" w:eastAsia="黑体"/>
          <w:bCs/>
          <w:sz w:val="32"/>
          <w:szCs w:val="32"/>
        </w:rPr>
        <w:t>1</w:t>
      </w:r>
    </w:p>
    <w:p>
      <w:pPr>
        <w:spacing w:beforeLines="50" w:afterLines="50" w:line="560" w:lineRule="exact"/>
        <w:jc w:val="center"/>
        <w:rPr>
          <w:rFonts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2020年全国成人高校招生统一考试时间表</w:t>
      </w:r>
    </w:p>
    <w:p>
      <w:pPr>
        <w:pStyle w:val="2"/>
        <w:spacing w:line="560" w:lineRule="exact"/>
        <w:ind w:firstLine="1"/>
        <w:jc w:val="center"/>
        <w:rPr>
          <w:rFonts w:hint="default"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（一）高中起点升本、专科考试时间表</w:t>
      </w:r>
    </w:p>
    <w:tbl>
      <w:tblPr>
        <w:tblStyle w:val="3"/>
        <w:tblpPr w:leftFromText="180" w:rightFromText="180" w:vertAnchor="text" w:horzAnchor="margin" w:tblpXSpec="center"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94" w:type="dxa"/>
            <w:tcBorders>
              <w:tl2br w:val="single" w:color="auto" w:sz="4" w:space="0"/>
            </w:tcBorders>
            <w:noWrap w:val="0"/>
            <w:vAlign w:val="top"/>
          </w:tcPr>
          <w:p>
            <w:pPr>
              <w:pStyle w:val="2"/>
              <w:spacing w:line="500" w:lineRule="exact"/>
              <w:ind w:left="-50"/>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 xml:space="preserve">          日期</w:t>
            </w:r>
          </w:p>
          <w:p>
            <w:pPr>
              <w:pStyle w:val="2"/>
              <w:spacing w:line="500" w:lineRule="exact"/>
              <w:ind w:left="-50"/>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 xml:space="preserve"> 时间</w:t>
            </w:r>
          </w:p>
        </w:tc>
        <w:tc>
          <w:tcPr>
            <w:tcW w:w="2835" w:type="dxa"/>
            <w:noWrap w:val="0"/>
            <w:vAlign w:val="center"/>
          </w:tcPr>
          <w:p>
            <w:pPr>
              <w:pStyle w:val="2"/>
              <w:spacing w:line="50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10月2</w:t>
            </w:r>
            <w:r>
              <w:rPr>
                <w:rFonts w:ascii="Times New Roman" w:hAnsi="Times New Roman" w:eastAsia="方正仿宋简体"/>
                <w:color w:val="000000"/>
                <w:sz w:val="30"/>
                <w:szCs w:val="30"/>
              </w:rPr>
              <w:t>4</w:t>
            </w:r>
            <w:r>
              <w:rPr>
                <w:rFonts w:hint="default" w:ascii="Times New Roman" w:hAnsi="Times New Roman" w:eastAsia="方正仿宋简体"/>
                <w:color w:val="000000"/>
                <w:sz w:val="30"/>
                <w:szCs w:val="30"/>
              </w:rPr>
              <w:t>日</w:t>
            </w:r>
          </w:p>
        </w:tc>
        <w:tc>
          <w:tcPr>
            <w:tcW w:w="3255" w:type="dxa"/>
            <w:noWrap w:val="0"/>
            <w:vAlign w:val="center"/>
          </w:tcPr>
          <w:p>
            <w:pPr>
              <w:pStyle w:val="2"/>
              <w:spacing w:line="50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10月2</w:t>
            </w:r>
            <w:r>
              <w:rPr>
                <w:rFonts w:ascii="Times New Roman" w:hAnsi="Times New Roman" w:eastAsia="方正仿宋简体"/>
                <w:color w:val="000000"/>
                <w:sz w:val="30"/>
                <w:szCs w:val="30"/>
              </w:rPr>
              <w:t>5</w:t>
            </w:r>
            <w:r>
              <w:rPr>
                <w:rFonts w:hint="default" w:ascii="Times New Roman" w:hAnsi="Times New Roman" w:eastAsia="方正仿宋简体"/>
                <w:color w:val="00000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694" w:type="dxa"/>
            <w:tcBorders>
              <w:bottom w:val="single" w:color="auto" w:sz="4" w:space="0"/>
            </w:tcBorders>
            <w:noWrap w:val="0"/>
            <w:vAlign w:val="center"/>
          </w:tcPr>
          <w:p>
            <w:pPr>
              <w:pStyle w:val="2"/>
              <w:spacing w:line="500" w:lineRule="exact"/>
              <w:ind w:left="-5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9:00—11:00</w:t>
            </w:r>
          </w:p>
        </w:tc>
        <w:tc>
          <w:tcPr>
            <w:tcW w:w="2835" w:type="dxa"/>
            <w:tcBorders>
              <w:bottom w:val="single" w:color="auto" w:sz="4" w:space="0"/>
            </w:tcBorders>
            <w:noWrap w:val="0"/>
            <w:vAlign w:val="center"/>
          </w:tcPr>
          <w:p>
            <w:pPr>
              <w:pStyle w:val="2"/>
              <w:spacing w:line="500" w:lineRule="exact"/>
              <w:ind w:left="-5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语文</w:t>
            </w:r>
          </w:p>
        </w:tc>
        <w:tc>
          <w:tcPr>
            <w:tcW w:w="3255" w:type="dxa"/>
            <w:tcBorders>
              <w:bottom w:val="single" w:color="auto" w:sz="4" w:space="0"/>
            </w:tcBorders>
            <w:noWrap w:val="0"/>
            <w:vAlign w:val="center"/>
          </w:tcPr>
          <w:p>
            <w:pPr>
              <w:pStyle w:val="2"/>
              <w:spacing w:line="500" w:lineRule="exact"/>
              <w:ind w:left="37"/>
              <w:jc w:val="center"/>
              <w:rPr>
                <w:rFonts w:hint="default" w:ascii="Times New Roman" w:hAnsi="Times New Roman" w:eastAsia="方正仿宋简体"/>
                <w:color w:val="000000"/>
                <w:sz w:val="30"/>
                <w:szCs w:val="30"/>
              </w:rPr>
            </w:pPr>
            <w:r>
              <w:rPr>
                <w:rFonts w:ascii="Times New Roman" w:hAnsi="Times New Roman" w:eastAsia="方正仿宋简体"/>
                <w:color w:val="000000"/>
                <w:sz w:val="30"/>
                <w:szCs w:val="30"/>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694" w:type="dxa"/>
            <w:tcBorders>
              <w:bottom w:val="single" w:color="auto" w:sz="4" w:space="0"/>
            </w:tcBorders>
            <w:noWrap w:val="0"/>
            <w:vAlign w:val="center"/>
          </w:tcPr>
          <w:p>
            <w:pPr>
              <w:pStyle w:val="2"/>
              <w:spacing w:line="500" w:lineRule="exact"/>
              <w:ind w:left="-5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14:30—16:30</w:t>
            </w:r>
          </w:p>
        </w:tc>
        <w:tc>
          <w:tcPr>
            <w:tcW w:w="2835" w:type="dxa"/>
            <w:tcBorders>
              <w:bottom w:val="single" w:color="auto" w:sz="4" w:space="0"/>
            </w:tcBorders>
            <w:noWrap w:val="0"/>
            <w:vAlign w:val="center"/>
          </w:tcPr>
          <w:p>
            <w:pPr>
              <w:pStyle w:val="2"/>
              <w:spacing w:line="500" w:lineRule="exact"/>
              <w:ind w:left="-5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数学（文科）</w:t>
            </w:r>
          </w:p>
          <w:p>
            <w:pPr>
              <w:pStyle w:val="2"/>
              <w:spacing w:line="500" w:lineRule="exact"/>
              <w:ind w:left="-5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数学（理科）</w:t>
            </w:r>
          </w:p>
        </w:tc>
        <w:tc>
          <w:tcPr>
            <w:tcW w:w="3255" w:type="dxa"/>
            <w:tcBorders>
              <w:bottom w:val="single" w:color="auto" w:sz="4" w:space="0"/>
            </w:tcBorders>
            <w:noWrap w:val="0"/>
            <w:vAlign w:val="center"/>
          </w:tcPr>
          <w:p>
            <w:pPr>
              <w:pStyle w:val="2"/>
              <w:spacing w:line="500" w:lineRule="exact"/>
              <w:ind w:left="4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史地（高起本文科）</w:t>
            </w:r>
          </w:p>
          <w:p>
            <w:pPr>
              <w:pStyle w:val="2"/>
              <w:spacing w:line="500" w:lineRule="exact"/>
              <w:ind w:left="4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理化（高起本理科）</w:t>
            </w:r>
          </w:p>
        </w:tc>
      </w:tr>
    </w:tbl>
    <w:p>
      <w:pPr>
        <w:pStyle w:val="2"/>
        <w:spacing w:beforeLines="50" w:afterLines="50" w:line="560" w:lineRule="exact"/>
        <w:jc w:val="center"/>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（二）专科起点升本科考试时间表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08"/>
        <w:gridCol w:w="24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94" w:type="dxa"/>
            <w:tcBorders>
              <w:tl2br w:val="single" w:color="auto" w:sz="4" w:space="0"/>
            </w:tcBorders>
            <w:noWrap w:val="0"/>
            <w:vAlign w:val="top"/>
          </w:tcPr>
          <w:p>
            <w:pPr>
              <w:pStyle w:val="2"/>
              <w:spacing w:line="440" w:lineRule="exact"/>
              <w:ind w:left="-315"/>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 xml:space="preserve">          日期</w:t>
            </w:r>
          </w:p>
          <w:p>
            <w:pPr>
              <w:pStyle w:val="2"/>
              <w:spacing w:line="440" w:lineRule="exact"/>
              <w:ind w:left="10"/>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时间</w:t>
            </w:r>
          </w:p>
        </w:tc>
        <w:tc>
          <w:tcPr>
            <w:tcW w:w="1908" w:type="dxa"/>
            <w:noWrap w:val="0"/>
            <w:vAlign w:val="center"/>
          </w:tcPr>
          <w:p>
            <w:pPr>
              <w:pStyle w:val="2"/>
              <w:spacing w:line="44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10月2</w:t>
            </w:r>
            <w:r>
              <w:rPr>
                <w:rFonts w:ascii="Times New Roman" w:hAnsi="Times New Roman" w:eastAsia="方正仿宋简体"/>
                <w:color w:val="000000"/>
                <w:sz w:val="30"/>
                <w:szCs w:val="30"/>
              </w:rPr>
              <w:t>4</w:t>
            </w:r>
            <w:r>
              <w:rPr>
                <w:rFonts w:hint="default" w:ascii="Times New Roman" w:hAnsi="Times New Roman" w:eastAsia="方正仿宋简体"/>
                <w:color w:val="000000"/>
                <w:sz w:val="30"/>
                <w:szCs w:val="30"/>
              </w:rPr>
              <w:t>日</w:t>
            </w:r>
          </w:p>
        </w:tc>
        <w:tc>
          <w:tcPr>
            <w:tcW w:w="4045" w:type="dxa"/>
            <w:gridSpan w:val="2"/>
            <w:noWrap w:val="0"/>
            <w:vAlign w:val="center"/>
          </w:tcPr>
          <w:p>
            <w:pPr>
              <w:pStyle w:val="2"/>
              <w:spacing w:line="44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10月2</w:t>
            </w:r>
            <w:r>
              <w:rPr>
                <w:rFonts w:ascii="Times New Roman" w:hAnsi="Times New Roman" w:eastAsia="方正仿宋简体"/>
                <w:color w:val="000000"/>
                <w:sz w:val="30"/>
                <w:szCs w:val="30"/>
              </w:rPr>
              <w:t>5</w:t>
            </w:r>
            <w:r>
              <w:rPr>
                <w:rFonts w:hint="default" w:ascii="Times New Roman" w:hAnsi="Times New Roman" w:eastAsia="方正仿宋简体"/>
                <w:color w:val="00000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2694" w:type="dxa"/>
            <w:tcBorders>
              <w:bottom w:val="single" w:color="auto" w:sz="4" w:space="0"/>
            </w:tcBorders>
            <w:noWrap w:val="0"/>
            <w:vAlign w:val="center"/>
          </w:tcPr>
          <w:p>
            <w:pPr>
              <w:pStyle w:val="2"/>
              <w:spacing w:line="440" w:lineRule="exact"/>
              <w:ind w:left="1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9:00—11:30</w:t>
            </w:r>
          </w:p>
        </w:tc>
        <w:tc>
          <w:tcPr>
            <w:tcW w:w="1908" w:type="dxa"/>
            <w:tcBorders>
              <w:bottom w:val="single" w:color="auto" w:sz="4" w:space="0"/>
            </w:tcBorders>
            <w:noWrap w:val="0"/>
            <w:vAlign w:val="center"/>
          </w:tcPr>
          <w:p>
            <w:pPr>
              <w:pStyle w:val="2"/>
              <w:spacing w:line="44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政治</w:t>
            </w:r>
          </w:p>
        </w:tc>
        <w:tc>
          <w:tcPr>
            <w:tcW w:w="2415" w:type="dxa"/>
            <w:tcBorders>
              <w:bottom w:val="single" w:color="auto" w:sz="4" w:space="0"/>
            </w:tcBorders>
            <w:noWrap w:val="0"/>
            <w:vAlign w:val="center"/>
          </w:tcPr>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大学语文</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艺术概论</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高等数学(一)</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高等数学(二)</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民法</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教育理论</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生态学基础</w:t>
            </w:r>
          </w:p>
          <w:p>
            <w:pPr>
              <w:pStyle w:val="2"/>
              <w:spacing w:line="440" w:lineRule="exact"/>
              <w:jc w:val="left"/>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医学综合</w:t>
            </w:r>
          </w:p>
        </w:tc>
        <w:tc>
          <w:tcPr>
            <w:tcW w:w="1630" w:type="dxa"/>
            <w:tcBorders>
              <w:bottom w:val="single" w:color="auto" w:sz="4" w:space="0"/>
            </w:tcBorders>
            <w:noWrap w:val="0"/>
            <w:vAlign w:val="center"/>
          </w:tcPr>
          <w:p>
            <w:pPr>
              <w:pStyle w:val="2"/>
              <w:spacing w:line="440" w:lineRule="exact"/>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94" w:type="dxa"/>
            <w:tcBorders>
              <w:bottom w:val="single" w:color="auto" w:sz="4" w:space="0"/>
            </w:tcBorders>
            <w:noWrap w:val="0"/>
            <w:vAlign w:val="center"/>
          </w:tcPr>
          <w:p>
            <w:pPr>
              <w:pStyle w:val="2"/>
              <w:spacing w:line="440" w:lineRule="exact"/>
              <w:ind w:left="10"/>
              <w:jc w:val="center"/>
              <w:rPr>
                <w:rFonts w:hint="default" w:ascii="Times New Roman" w:hAnsi="Times New Roman" w:eastAsia="方正仿宋简体"/>
                <w:color w:val="000000"/>
                <w:sz w:val="30"/>
                <w:szCs w:val="30"/>
              </w:rPr>
            </w:pPr>
            <w:r>
              <w:rPr>
                <w:rFonts w:hint="default" w:ascii="Times New Roman" w:hAnsi="Times New Roman" w:eastAsia="方正仿宋简体"/>
                <w:color w:val="000000"/>
                <w:sz w:val="30"/>
                <w:szCs w:val="30"/>
              </w:rPr>
              <w:t>14:30—17:00</w:t>
            </w:r>
          </w:p>
        </w:tc>
        <w:tc>
          <w:tcPr>
            <w:tcW w:w="1908" w:type="dxa"/>
            <w:tcBorders>
              <w:bottom w:val="single" w:color="auto" w:sz="4" w:space="0"/>
            </w:tcBorders>
            <w:noWrap w:val="0"/>
            <w:vAlign w:val="center"/>
          </w:tcPr>
          <w:p>
            <w:pPr>
              <w:pStyle w:val="2"/>
              <w:spacing w:line="440" w:lineRule="exact"/>
              <w:jc w:val="center"/>
              <w:rPr>
                <w:rFonts w:hint="default" w:ascii="Times New Roman" w:hAnsi="Times New Roman" w:eastAsia="方正仿宋简体"/>
                <w:color w:val="000000"/>
                <w:sz w:val="30"/>
                <w:szCs w:val="30"/>
              </w:rPr>
            </w:pPr>
            <w:r>
              <w:rPr>
                <w:rFonts w:ascii="Times New Roman" w:hAnsi="Times New Roman" w:eastAsia="方正仿宋简体"/>
                <w:color w:val="000000"/>
                <w:sz w:val="30"/>
                <w:szCs w:val="30"/>
              </w:rPr>
              <w:t>英语</w:t>
            </w:r>
          </w:p>
        </w:tc>
        <w:tc>
          <w:tcPr>
            <w:tcW w:w="4045" w:type="dxa"/>
            <w:gridSpan w:val="2"/>
            <w:tcBorders>
              <w:bottom w:val="single" w:color="auto" w:sz="4" w:space="0"/>
            </w:tcBorders>
            <w:noWrap w:val="0"/>
            <w:vAlign w:val="center"/>
          </w:tcPr>
          <w:p>
            <w:pPr>
              <w:pStyle w:val="2"/>
              <w:spacing w:line="440" w:lineRule="exact"/>
              <w:ind w:left="187"/>
              <w:rPr>
                <w:rFonts w:hint="default" w:ascii="Times New Roman" w:hAnsi="Times New Roman" w:eastAsia="方正仿宋简体"/>
                <w:color w:val="000000"/>
                <w:sz w:val="30"/>
                <w:szCs w:val="30"/>
              </w:rPr>
            </w:pPr>
          </w:p>
        </w:tc>
      </w:tr>
    </w:tbl>
    <w:p>
      <w:pPr>
        <w:spacing w:line="480" w:lineRule="exact"/>
        <w:rPr>
          <w:rFonts w:eastAsia="方正仿宋简体"/>
          <w:color w:val="000000"/>
          <w:sz w:val="28"/>
          <w:szCs w:val="28"/>
          <w:shd w:val="clear" w:color="auto" w:fill="FFFFFF"/>
        </w:rPr>
      </w:pPr>
      <w:r>
        <w:rPr>
          <w:rFonts w:hint="eastAsia" w:ascii="黑体" w:hAnsi="黑体" w:eastAsia="黑体" w:cs="黑体"/>
          <w:bCs/>
          <w:color w:val="000000"/>
          <w:sz w:val="28"/>
          <w:szCs w:val="28"/>
          <w:shd w:val="clear" w:color="auto" w:fill="FFFFFF"/>
        </w:rPr>
        <w:t>说明：</w:t>
      </w:r>
      <w:r>
        <w:rPr>
          <w:rFonts w:eastAsia="方正仿宋简体"/>
          <w:sz w:val="28"/>
          <w:szCs w:val="28"/>
        </w:rPr>
        <w:t>1</w:t>
      </w:r>
      <w:r>
        <w:rPr>
          <w:rFonts w:hint="eastAsia" w:eastAsia="方正仿宋简体"/>
          <w:sz w:val="28"/>
          <w:szCs w:val="28"/>
        </w:rPr>
        <w:t>.2020</w:t>
      </w:r>
      <w:r>
        <w:rPr>
          <w:rFonts w:eastAsia="方正仿宋简体"/>
          <w:sz w:val="28"/>
          <w:szCs w:val="28"/>
        </w:rPr>
        <w:t>年成人高考</w:t>
      </w:r>
      <w:r>
        <w:rPr>
          <w:rFonts w:eastAsia="方正仿宋简体"/>
          <w:color w:val="000000"/>
          <w:sz w:val="28"/>
          <w:szCs w:val="28"/>
          <w:shd w:val="clear" w:color="auto" w:fill="FFFFFF"/>
        </w:rPr>
        <w:t>依据</w:t>
      </w:r>
      <w:r>
        <w:rPr>
          <w:rFonts w:hint="eastAsia" w:eastAsia="方正仿宋简体"/>
          <w:color w:val="000000"/>
          <w:sz w:val="28"/>
          <w:szCs w:val="28"/>
          <w:shd w:val="clear" w:color="auto" w:fill="FFFFFF"/>
        </w:rPr>
        <w:t>教育部考试中心制订的考试大纲命题</w:t>
      </w:r>
      <w:r>
        <w:rPr>
          <w:rFonts w:eastAsia="方正仿宋简体"/>
          <w:color w:val="000000"/>
          <w:sz w:val="28"/>
          <w:szCs w:val="28"/>
          <w:shd w:val="clear" w:color="auto" w:fill="FFFFFF"/>
        </w:rPr>
        <w:t>。</w:t>
      </w:r>
    </w:p>
    <w:p>
      <w:pPr>
        <w:spacing w:line="480" w:lineRule="exact"/>
        <w:ind w:firstLine="840" w:firstLineChars="300"/>
        <w:rPr>
          <w:rFonts w:eastAsia="方正仿宋简体"/>
          <w:color w:val="000000"/>
          <w:sz w:val="28"/>
          <w:szCs w:val="28"/>
          <w:shd w:val="clear" w:color="auto" w:fill="FFFFFF"/>
        </w:rPr>
      </w:pPr>
      <w:r>
        <w:rPr>
          <w:rFonts w:hint="eastAsia" w:eastAsia="方正仿宋简体"/>
          <w:color w:val="000000"/>
          <w:sz w:val="28"/>
          <w:szCs w:val="28"/>
          <w:shd w:val="clear" w:color="auto" w:fill="FFFFFF"/>
        </w:rPr>
        <w:t>2.</w:t>
      </w:r>
      <w:r>
        <w:rPr>
          <w:rFonts w:eastAsia="方正仿宋简体"/>
          <w:color w:val="000000"/>
          <w:sz w:val="28"/>
          <w:szCs w:val="28"/>
          <w:shd w:val="clear" w:color="auto" w:fill="FFFFFF"/>
        </w:rPr>
        <w:t>专科起点升本科招生专业所对应的考试科目按《专科起点升</w:t>
      </w:r>
    </w:p>
    <w:p>
      <w:pPr>
        <w:spacing w:line="480" w:lineRule="exact"/>
        <w:ind w:firstLine="1120" w:firstLineChars="400"/>
        <w:rPr>
          <w:rFonts w:eastAsia="方正仿宋简体"/>
          <w:color w:val="000000"/>
          <w:sz w:val="28"/>
          <w:szCs w:val="28"/>
          <w:shd w:val="clear" w:color="auto" w:fill="FFFFFF"/>
        </w:rPr>
      </w:pPr>
      <w:r>
        <w:rPr>
          <w:rFonts w:eastAsia="方正仿宋简体"/>
          <w:color w:val="000000"/>
          <w:sz w:val="28"/>
          <w:szCs w:val="28"/>
          <w:shd w:val="clear" w:color="auto" w:fill="FFFFFF"/>
        </w:rPr>
        <w:t>本科专业与统一考试科目对照表》（教学厅〔2017〕12号</w:t>
      </w:r>
    </w:p>
    <w:p>
      <w:pPr>
        <w:spacing w:line="480" w:lineRule="exact"/>
        <w:ind w:firstLine="1120" w:firstLineChars="400"/>
        <w:rPr>
          <w:rFonts w:eastAsia="方正仿宋简体"/>
          <w:color w:val="000000"/>
          <w:sz w:val="28"/>
          <w:szCs w:val="28"/>
          <w:shd w:val="clear" w:color="auto" w:fill="FFFFFF"/>
        </w:rPr>
      </w:pPr>
      <w:r>
        <w:rPr>
          <w:rFonts w:eastAsia="方正仿宋简体"/>
          <w:color w:val="000000"/>
          <w:sz w:val="28"/>
          <w:szCs w:val="28"/>
          <w:shd w:val="clear" w:color="auto" w:fill="FFFFFF"/>
        </w:rPr>
        <w:t>文附件4）执行</w:t>
      </w:r>
      <w:r>
        <w:rPr>
          <w:rFonts w:hint="eastAsia" w:eastAsia="方正仿宋简体"/>
          <w:color w:val="000000"/>
          <w:sz w:val="28"/>
          <w:szCs w:val="28"/>
          <w:shd w:val="clear" w:color="auto" w:fill="FFFFFF"/>
        </w:rPr>
        <w:t>。</w:t>
      </w:r>
    </w:p>
    <w:p>
      <w:pPr>
        <w:spacing w:line="560" w:lineRule="exact"/>
        <w:rPr>
          <w:rFonts w:eastAsia="黑体"/>
          <w:bCs/>
          <w:sz w:val="32"/>
          <w:szCs w:val="32"/>
        </w:rPr>
      </w:pPr>
      <w:r>
        <w:rPr>
          <w:rFonts w:eastAsia="黑体"/>
          <w:bCs/>
          <w:sz w:val="32"/>
          <w:szCs w:val="32"/>
        </w:rPr>
        <w:t>附件</w:t>
      </w:r>
      <w:r>
        <w:rPr>
          <w:rFonts w:hint="eastAsia" w:eastAsia="黑体"/>
          <w:bCs/>
          <w:sz w:val="32"/>
          <w:szCs w:val="32"/>
        </w:rPr>
        <w:t>2</w:t>
      </w:r>
    </w:p>
    <w:p>
      <w:pPr>
        <w:spacing w:line="560" w:lineRule="exact"/>
        <w:rPr>
          <w:rFonts w:ascii="仿宋_GB2312" w:hAnsi="仿宋" w:cs="新宋体-18030"/>
          <w:bCs/>
          <w:sz w:val="32"/>
          <w:szCs w:val="32"/>
        </w:rPr>
      </w:pPr>
    </w:p>
    <w:p>
      <w:pPr>
        <w:spacing w:line="600" w:lineRule="exact"/>
        <w:jc w:val="center"/>
        <w:rPr>
          <w:rFonts w:ascii="方正小标宋简体" w:hAnsi="仿宋" w:eastAsia="方正小标宋简体"/>
          <w:sz w:val="44"/>
          <w:szCs w:val="44"/>
          <w:shd w:val="clear" w:color="auto" w:fill="FFFFFF"/>
        </w:rPr>
      </w:pPr>
      <w:r>
        <w:rPr>
          <w:rFonts w:hint="eastAsia" w:ascii="方正小标宋简体" w:hAnsi="仿宋" w:eastAsia="方正小标宋简体"/>
          <w:sz w:val="44"/>
          <w:szCs w:val="44"/>
          <w:shd w:val="clear" w:color="auto" w:fill="FFFFFF"/>
        </w:rPr>
        <w:t>2020年福建省成人高校考试招生报名及</w:t>
      </w:r>
    </w:p>
    <w:p>
      <w:pPr>
        <w:spacing w:line="600" w:lineRule="exact"/>
        <w:jc w:val="center"/>
        <w:rPr>
          <w:rFonts w:ascii="仿宋_GB2312" w:hAnsi="仿宋" w:cs="宋体"/>
          <w:kern w:val="0"/>
          <w:sz w:val="44"/>
          <w:szCs w:val="44"/>
        </w:rPr>
      </w:pPr>
      <w:r>
        <w:rPr>
          <w:rFonts w:hint="eastAsia" w:ascii="方正小标宋简体" w:hAnsi="仿宋" w:eastAsia="方正小标宋简体"/>
          <w:sz w:val="44"/>
          <w:szCs w:val="44"/>
          <w:shd w:val="clear" w:color="auto" w:fill="FFFFFF"/>
        </w:rPr>
        <w:t>志愿填报时间安排表</w:t>
      </w:r>
    </w:p>
    <w:p>
      <w:pPr>
        <w:widowControl/>
        <w:spacing w:line="500" w:lineRule="atLeast"/>
        <w:jc w:val="center"/>
        <w:rPr>
          <w:rFonts w:ascii="仿宋_GB2312" w:hAnsi="仿宋" w:cs="宋体"/>
          <w:kern w:val="0"/>
          <w:sz w:val="18"/>
          <w:szCs w:val="1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82"/>
        <w:gridCol w:w="343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jc w:val="center"/>
              <w:rPr>
                <w:rFonts w:ascii="宋体" w:hAnsi="宋体" w:cs="宋体"/>
                <w:b/>
                <w:bCs/>
                <w:kern w:val="0"/>
                <w:sz w:val="30"/>
                <w:szCs w:val="30"/>
              </w:rPr>
            </w:pPr>
            <w:r>
              <w:rPr>
                <w:rFonts w:hint="eastAsia" w:ascii="宋体" w:hAnsi="宋体" w:cs="宋体"/>
                <w:b/>
                <w:bCs/>
                <w:sz w:val="30"/>
                <w:szCs w:val="30"/>
              </w:rPr>
              <w:t>序号</w:t>
            </w:r>
          </w:p>
        </w:tc>
        <w:tc>
          <w:tcPr>
            <w:tcW w:w="3434" w:type="dxa"/>
            <w:noWrap w:val="0"/>
            <w:vAlign w:val="center"/>
          </w:tcPr>
          <w:p>
            <w:pPr>
              <w:widowControl/>
              <w:jc w:val="center"/>
              <w:rPr>
                <w:rFonts w:ascii="宋体" w:hAnsi="宋体" w:cs="宋体"/>
                <w:b/>
                <w:bCs/>
                <w:kern w:val="0"/>
                <w:sz w:val="30"/>
                <w:szCs w:val="30"/>
              </w:rPr>
            </w:pPr>
            <w:r>
              <w:rPr>
                <w:rFonts w:hint="eastAsia" w:ascii="宋体" w:hAnsi="宋体" w:cs="宋体"/>
                <w:b/>
                <w:bCs/>
                <w:sz w:val="30"/>
                <w:szCs w:val="30"/>
              </w:rPr>
              <w:t>内  容</w:t>
            </w:r>
          </w:p>
        </w:tc>
        <w:tc>
          <w:tcPr>
            <w:tcW w:w="4464" w:type="dxa"/>
            <w:noWrap w:val="0"/>
            <w:vAlign w:val="center"/>
          </w:tcPr>
          <w:p>
            <w:pPr>
              <w:widowControl/>
              <w:jc w:val="center"/>
              <w:rPr>
                <w:rFonts w:ascii="宋体" w:hAnsi="宋体" w:cs="宋体"/>
                <w:b/>
                <w:bCs/>
                <w:kern w:val="0"/>
                <w:sz w:val="30"/>
                <w:szCs w:val="30"/>
              </w:rPr>
            </w:pPr>
            <w:r>
              <w:rPr>
                <w:rFonts w:hint="eastAsia" w:ascii="宋体" w:hAnsi="宋体" w:cs="宋体"/>
                <w:b/>
                <w:bCs/>
                <w:sz w:val="30"/>
                <w:szCs w:val="30"/>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1</w:t>
            </w:r>
          </w:p>
        </w:tc>
        <w:tc>
          <w:tcPr>
            <w:tcW w:w="3434"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网上报名，</w:t>
            </w:r>
          </w:p>
          <w:p>
            <w:pPr>
              <w:widowControl/>
              <w:spacing w:line="500" w:lineRule="atLeast"/>
              <w:jc w:val="center"/>
              <w:rPr>
                <w:rFonts w:ascii="宋体" w:hAnsi="宋体" w:cs="宋体"/>
                <w:kern w:val="0"/>
                <w:sz w:val="30"/>
                <w:szCs w:val="30"/>
              </w:rPr>
            </w:pPr>
            <w:r>
              <w:rPr>
                <w:rFonts w:hint="eastAsia" w:ascii="宋体" w:hAnsi="宋体" w:cs="宋体"/>
                <w:sz w:val="30"/>
                <w:szCs w:val="30"/>
              </w:rPr>
              <w:t>第一次志愿填报</w:t>
            </w:r>
          </w:p>
        </w:tc>
        <w:tc>
          <w:tcPr>
            <w:tcW w:w="446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9月</w:t>
            </w:r>
            <w:r>
              <w:rPr>
                <w:rFonts w:hint="eastAsia" w:ascii="宋体" w:hAnsi="宋体" w:cs="宋体"/>
                <w:sz w:val="30"/>
                <w:szCs w:val="30"/>
                <w:lang w:val="en-US" w:eastAsia="zh-CN"/>
              </w:rPr>
              <w:t>5</w:t>
            </w:r>
            <w:r>
              <w:rPr>
                <w:rFonts w:hint="eastAsia" w:ascii="宋体" w:hAnsi="宋体" w:cs="宋体"/>
                <w:sz w:val="30"/>
                <w:szCs w:val="30"/>
              </w:rPr>
              <w:t>日9:00至</w:t>
            </w:r>
            <w:r>
              <w:rPr>
                <w:rFonts w:hint="eastAsia" w:ascii="宋体" w:hAnsi="宋体" w:cs="宋体"/>
                <w:sz w:val="30"/>
                <w:szCs w:val="30"/>
                <w:lang w:val="en-US" w:eastAsia="zh-CN"/>
              </w:rPr>
              <w:t>9</w:t>
            </w:r>
            <w:r>
              <w:rPr>
                <w:rFonts w:hint="eastAsia" w:ascii="宋体" w:hAnsi="宋体" w:cs="宋体"/>
                <w:sz w:val="30"/>
                <w:szCs w:val="30"/>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2</w:t>
            </w:r>
          </w:p>
        </w:tc>
        <w:tc>
          <w:tcPr>
            <w:tcW w:w="3434"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网上缴费截止</w:t>
            </w:r>
          </w:p>
        </w:tc>
        <w:tc>
          <w:tcPr>
            <w:tcW w:w="4464"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9月1</w:t>
            </w:r>
            <w:r>
              <w:rPr>
                <w:rFonts w:hint="eastAsia" w:ascii="宋体" w:hAnsi="宋体" w:cs="宋体"/>
                <w:sz w:val="30"/>
                <w:szCs w:val="30"/>
                <w:lang w:val="en-US" w:eastAsia="zh-CN"/>
              </w:rPr>
              <w:t>3</w:t>
            </w:r>
            <w:r>
              <w:rPr>
                <w:rFonts w:hint="eastAsia" w:ascii="宋体" w:hAnsi="宋体" w:cs="宋体"/>
                <w:sz w:val="30"/>
                <w:szCs w:val="30"/>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3</w:t>
            </w:r>
          </w:p>
        </w:tc>
        <w:tc>
          <w:tcPr>
            <w:tcW w:w="343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现场确认</w:t>
            </w:r>
          </w:p>
        </w:tc>
        <w:tc>
          <w:tcPr>
            <w:tcW w:w="446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9月</w:t>
            </w:r>
            <w:r>
              <w:rPr>
                <w:rFonts w:hint="eastAsia" w:ascii="宋体" w:hAnsi="宋体" w:cs="宋体"/>
                <w:sz w:val="30"/>
                <w:szCs w:val="30"/>
                <w:lang w:val="en-US" w:eastAsia="zh-CN"/>
              </w:rPr>
              <w:t>8</w:t>
            </w:r>
            <w:r>
              <w:rPr>
                <w:rFonts w:hint="eastAsia" w:ascii="宋体" w:hAnsi="宋体" w:cs="宋体"/>
                <w:sz w:val="30"/>
                <w:szCs w:val="30"/>
              </w:rPr>
              <w:t>日至1</w:t>
            </w:r>
            <w:r>
              <w:rPr>
                <w:rFonts w:hint="eastAsia" w:ascii="宋体" w:hAnsi="宋体" w:cs="宋体"/>
                <w:sz w:val="30"/>
                <w:szCs w:val="30"/>
                <w:lang w:val="en-US" w:eastAsia="zh-CN"/>
              </w:rPr>
              <w:t>4</w:t>
            </w:r>
            <w:r>
              <w:rPr>
                <w:rFonts w:hint="eastAsia" w:ascii="宋体" w:hAnsi="宋体" w:cs="宋体"/>
                <w:sz w:val="30"/>
                <w:szCs w:val="30"/>
              </w:rPr>
              <w:t>日</w:t>
            </w:r>
            <w:r>
              <w:rPr>
                <w:rFonts w:hint="eastAsia" w:ascii="宋体" w:hAnsi="宋体" w:cs="宋体"/>
                <w:sz w:val="30"/>
                <w:szCs w:val="30"/>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4</w:t>
            </w:r>
          </w:p>
        </w:tc>
        <w:tc>
          <w:tcPr>
            <w:tcW w:w="3434" w:type="dxa"/>
            <w:noWrap w:val="0"/>
            <w:vAlign w:val="center"/>
          </w:tcPr>
          <w:p>
            <w:pPr>
              <w:pStyle w:val="2"/>
              <w:spacing w:line="400" w:lineRule="exact"/>
              <w:jc w:val="center"/>
              <w:rPr>
                <w:rFonts w:hint="default" w:hAnsi="宋体" w:cs="宋体"/>
                <w:sz w:val="30"/>
                <w:szCs w:val="30"/>
              </w:rPr>
            </w:pPr>
            <w:r>
              <w:rPr>
                <w:rFonts w:hAnsi="宋体" w:cs="宋体"/>
                <w:sz w:val="30"/>
                <w:szCs w:val="30"/>
              </w:rPr>
              <w:t>网上打印准考证</w:t>
            </w:r>
          </w:p>
        </w:tc>
        <w:tc>
          <w:tcPr>
            <w:tcW w:w="4464" w:type="dxa"/>
            <w:noWrap w:val="0"/>
            <w:vAlign w:val="center"/>
          </w:tcPr>
          <w:p>
            <w:pPr>
              <w:widowControl/>
              <w:spacing w:line="500" w:lineRule="atLeast"/>
              <w:jc w:val="center"/>
              <w:rPr>
                <w:rFonts w:ascii="宋体" w:hAnsi="宋体" w:cs="宋体"/>
                <w:sz w:val="30"/>
                <w:szCs w:val="30"/>
              </w:rPr>
            </w:pPr>
            <w:r>
              <w:rPr>
                <w:rFonts w:hint="eastAsia" w:ascii="宋体" w:hAnsi="宋体" w:cs="宋体"/>
                <w:sz w:val="30"/>
                <w:szCs w:val="30"/>
              </w:rPr>
              <w:t>10月16日9:00至21日18:00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5</w:t>
            </w:r>
          </w:p>
        </w:tc>
        <w:tc>
          <w:tcPr>
            <w:tcW w:w="343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第二次志愿信息确认</w:t>
            </w:r>
          </w:p>
        </w:tc>
        <w:tc>
          <w:tcPr>
            <w:tcW w:w="446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11月25日9:00至27日18:00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1282"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6</w:t>
            </w:r>
          </w:p>
        </w:tc>
        <w:tc>
          <w:tcPr>
            <w:tcW w:w="343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填报征求志愿</w:t>
            </w:r>
          </w:p>
        </w:tc>
        <w:tc>
          <w:tcPr>
            <w:tcW w:w="4464" w:type="dxa"/>
            <w:noWrap w:val="0"/>
            <w:vAlign w:val="center"/>
          </w:tcPr>
          <w:p>
            <w:pPr>
              <w:widowControl/>
              <w:spacing w:line="500" w:lineRule="atLeast"/>
              <w:jc w:val="center"/>
              <w:rPr>
                <w:rFonts w:ascii="宋体" w:hAnsi="宋体" w:cs="宋体"/>
                <w:kern w:val="0"/>
                <w:sz w:val="30"/>
                <w:szCs w:val="30"/>
              </w:rPr>
            </w:pPr>
            <w:r>
              <w:rPr>
                <w:rFonts w:hint="eastAsia" w:ascii="宋体" w:hAnsi="宋体" w:cs="宋体"/>
                <w:sz w:val="30"/>
                <w:szCs w:val="30"/>
              </w:rPr>
              <w:t>12月</w:t>
            </w:r>
            <w:r>
              <w:rPr>
                <w:rFonts w:hint="eastAsia" w:ascii="宋体" w:hAnsi="宋体" w:cs="宋体"/>
                <w:sz w:val="30"/>
                <w:szCs w:val="30"/>
                <w:lang w:val="en-US" w:eastAsia="zh-CN"/>
              </w:rPr>
              <w:t>5</w:t>
            </w:r>
            <w:r>
              <w:rPr>
                <w:rFonts w:hint="eastAsia" w:ascii="宋体" w:hAnsi="宋体" w:cs="宋体"/>
                <w:sz w:val="30"/>
                <w:szCs w:val="30"/>
              </w:rPr>
              <w:t>日9:00至</w:t>
            </w:r>
            <w:r>
              <w:rPr>
                <w:rFonts w:hint="eastAsia" w:ascii="宋体" w:hAnsi="宋体" w:cs="宋体"/>
                <w:sz w:val="30"/>
                <w:szCs w:val="30"/>
                <w:lang w:val="en-US" w:eastAsia="zh-CN"/>
              </w:rPr>
              <w:t>6</w:t>
            </w:r>
            <w:r>
              <w:rPr>
                <w:rFonts w:hint="eastAsia" w:ascii="宋体" w:hAnsi="宋体" w:cs="宋体"/>
                <w:sz w:val="30"/>
                <w:szCs w:val="30"/>
              </w:rPr>
              <w:t>日18:00</w:t>
            </w:r>
          </w:p>
        </w:tc>
      </w:tr>
    </w:tbl>
    <w:p>
      <w:pPr>
        <w:widowControl/>
        <w:spacing w:line="500" w:lineRule="atLeast"/>
        <w:jc w:val="center"/>
        <w:rPr>
          <w:rFonts w:ascii="仿宋_GB2312" w:hAnsi="仿宋" w:cs="宋体"/>
          <w:kern w:val="0"/>
          <w:sz w:val="18"/>
          <w:szCs w:val="18"/>
        </w:rPr>
      </w:pPr>
    </w:p>
    <w:p>
      <w:pPr>
        <w:widowControl/>
        <w:spacing w:line="500" w:lineRule="atLeast"/>
        <w:jc w:val="center"/>
        <w:rPr>
          <w:rFonts w:ascii="仿宋_GB2312" w:hAnsi="仿宋" w:cs="宋体"/>
          <w:kern w:val="0"/>
          <w:sz w:val="18"/>
          <w:szCs w:val="18"/>
        </w:rPr>
      </w:pPr>
    </w:p>
    <w:p>
      <w:pPr>
        <w:spacing w:line="560" w:lineRule="exact"/>
        <w:rPr>
          <w:rFonts w:ascii="仿宋_GB2312" w:hAnsi="仿宋" w:cs="新宋体-18030"/>
          <w:bCs/>
          <w:sz w:val="32"/>
          <w:szCs w:val="32"/>
        </w:rPr>
      </w:pPr>
    </w:p>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36"/>
          <w:szCs w:val="36"/>
        </w:rPr>
      </w:pPr>
      <w:r>
        <w:rPr>
          <w:rFonts w:hint="eastAsia" w:ascii="方正小标宋简体" w:eastAsia="方正小标宋简体"/>
          <w:sz w:val="36"/>
          <w:szCs w:val="36"/>
        </w:rPr>
        <w:t>专科起点升本科招生专业与统一考试科目对照表</w:t>
      </w:r>
    </w:p>
    <w:p>
      <w:pPr>
        <w:jc w:val="left"/>
        <w:rPr>
          <w:rFonts w:ascii="黑体" w:hAnsi="黑体" w:eastAsia="黑体"/>
          <w:b/>
          <w:sz w:val="28"/>
          <w:szCs w:val="28"/>
        </w:rPr>
      </w:pPr>
      <w:r>
        <w:rPr>
          <w:rFonts w:hint="eastAsia" w:ascii="黑体" w:hAnsi="黑体" w:eastAsia="黑体"/>
          <w:bCs/>
          <w:sz w:val="28"/>
          <w:szCs w:val="28"/>
        </w:rPr>
        <w:t>一、哲学、文学、历史学以及中医学类、中药学类</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6"/>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36" w:type="dxa"/>
            <w:tcBorders>
              <w:top w:val="single" w:color="auto" w:sz="4" w:space="0"/>
              <w:bottom w:val="single" w:color="auto" w:sz="4" w:space="0"/>
              <w:right w:val="single" w:color="auto" w:sz="4" w:space="0"/>
            </w:tcBorders>
            <w:noWrap w:val="0"/>
            <w:vAlign w:val="center"/>
          </w:tcPr>
          <w:p>
            <w:pPr>
              <w:tabs>
                <w:tab w:val="left" w:pos="2967"/>
              </w:tabs>
              <w:spacing w:line="360" w:lineRule="exact"/>
              <w:jc w:val="center"/>
              <w:rPr>
                <w:rFonts w:ascii="仿宋_GB2312"/>
                <w:b/>
                <w:sz w:val="24"/>
              </w:rPr>
            </w:pPr>
            <w:r>
              <w:rPr>
                <w:rFonts w:hint="eastAsia" w:ascii="仿宋_GB2312" w:hAnsi="仿宋"/>
                <w:b/>
                <w:sz w:val="24"/>
              </w:rPr>
              <w:t>招</w:t>
            </w:r>
            <w:r>
              <w:rPr>
                <w:rFonts w:ascii="仿宋_GB2312"/>
                <w:b/>
                <w:sz w:val="24"/>
              </w:rPr>
              <w:t xml:space="preserve">    </w:t>
            </w:r>
            <w:r>
              <w:rPr>
                <w:rFonts w:hint="eastAsia" w:ascii="仿宋_GB2312" w:hAnsi="仿宋"/>
                <w:b/>
                <w:sz w:val="24"/>
              </w:rPr>
              <w:t>生</w:t>
            </w:r>
            <w:r>
              <w:rPr>
                <w:rFonts w:ascii="仿宋_GB2312"/>
                <w:b/>
                <w:sz w:val="24"/>
              </w:rPr>
              <w:t xml:space="preserve">    </w:t>
            </w:r>
            <w:r>
              <w:rPr>
                <w:rFonts w:hint="eastAsia" w:ascii="仿宋_GB2312" w:hAnsi="仿宋"/>
                <w:b/>
                <w:sz w:val="24"/>
              </w:rPr>
              <w:t>专</w:t>
            </w:r>
            <w:r>
              <w:rPr>
                <w:rFonts w:ascii="仿宋_GB2312"/>
                <w:b/>
                <w:sz w:val="24"/>
              </w:rPr>
              <w:t xml:space="preserve">    </w:t>
            </w:r>
            <w:r>
              <w:rPr>
                <w:rFonts w:hint="eastAsia" w:ascii="仿宋_GB2312" w:hAnsi="仿宋"/>
                <w:b/>
                <w:sz w:val="24"/>
              </w:rPr>
              <w:t>业</w:t>
            </w:r>
          </w:p>
        </w:tc>
        <w:tc>
          <w:tcPr>
            <w:tcW w:w="864" w:type="dxa"/>
            <w:tcBorders>
              <w:top w:val="single" w:color="auto" w:sz="4" w:space="0"/>
              <w:left w:val="single" w:color="auto" w:sz="4" w:space="0"/>
              <w:bottom w:val="single" w:color="auto" w:sz="4" w:space="0"/>
            </w:tcBorders>
            <w:noWrap w:val="0"/>
            <w:vAlign w:val="top"/>
          </w:tcPr>
          <w:p>
            <w:pPr>
              <w:spacing w:line="360" w:lineRule="exact"/>
              <w:jc w:val="center"/>
              <w:rPr>
                <w:rFonts w:ascii="仿宋_GB2312" w:hAnsi="仿宋"/>
                <w:b/>
                <w:sz w:val="24"/>
              </w:rPr>
            </w:pPr>
            <w:r>
              <w:rPr>
                <w:rFonts w:hint="eastAsia" w:ascii="仿宋_GB2312" w:hAnsi="仿宋"/>
                <w:b/>
                <w:sz w:val="24"/>
              </w:rPr>
              <w:t>统考</w:t>
            </w:r>
          </w:p>
          <w:p>
            <w:pPr>
              <w:spacing w:line="360" w:lineRule="exact"/>
              <w:jc w:val="center"/>
              <w:rPr>
                <w:rFonts w:ascii="仿宋_GB2312"/>
                <w:b/>
                <w:sz w:val="24"/>
              </w:rPr>
            </w:pPr>
            <w:r>
              <w:rPr>
                <w:rFonts w:hint="eastAsia" w:ascii="仿宋_GB2312" w:hAnsi="仿宋"/>
                <w:b/>
                <w:sz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36"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42"/>
              <w:gridCol w:w="9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010101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哲学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010102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010103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宗教学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010104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030401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民族学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汉语言</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中国少数民族语言文学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古典文献学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应用语言学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秘书学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050108</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中国语言与文化</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050109</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手语翻译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德语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西班牙语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阿拉伯语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波斯语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050209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朝鲜语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菲律宾语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梵语巴利语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印度尼西亚语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印地语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柬埔寨语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老挝语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缅甸语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马来语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050219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僧伽罗语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乌尔都语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希伯来语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越南语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豪萨语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斯瓦希里语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阿尔巴尼亚语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保加利亚语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波兰语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050229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捷克语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斯洛伐克语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罗马尼亚语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葡萄牙语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瑞典语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塞尔维亚语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土耳其语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希腊语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匈牙利语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050239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泰米尔语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普什图语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世界语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孟加拉语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尼泊尔语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荷兰语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芬兰语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乌克兰语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挪威语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050249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丹麦语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冰岛语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爱尔兰语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拉脱维亚语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立陶宛语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斯洛文尼亚语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爱沙尼亚语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马耳他语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哈萨克语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乌兹别克语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050259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祖鲁语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拉丁语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翻译</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阿姆哈拉语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吉尔吉斯语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索马里语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土库曼语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加泰罗尼亚语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约鲁巴语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050269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亚美尼亚语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马达加斯加语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格鲁吉亚语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阿塞拜疆语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阿非利卡语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马其顿语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塔吉克语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茨瓦纳语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恩德贝莱语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科摩罗语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050279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克里奥尔语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绍纳语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提格雷尼亚语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白俄罗斯语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毛利语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汤加语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萨摩亚语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050286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库尔德语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新闻学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广播电视学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广告学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编辑出版学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世界史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文物与博物馆学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外国语言与外国历史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060107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藏医学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维医学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100507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哈医学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藏药学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中药制药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350101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维吾尔语言文学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350102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350103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蒙古语言文学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350104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96" w:type="dxa"/>
                <w:cantSplit/>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350105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藏语言文学</w:t>
                  </w:r>
                </w:p>
              </w:tc>
            </w:tr>
          </w:tbl>
          <w:p>
            <w:pPr>
              <w:tabs>
                <w:tab w:val="left" w:pos="2952"/>
              </w:tabs>
              <w:spacing w:line="360" w:lineRule="exact"/>
              <w:jc w:val="center"/>
              <w:rPr>
                <w:rFonts w:ascii="仿宋_GB2312"/>
                <w:sz w:val="24"/>
              </w:rPr>
            </w:pPr>
          </w:p>
        </w:tc>
        <w:tc>
          <w:tcPr>
            <w:tcW w:w="864" w:type="dxa"/>
            <w:tcBorders>
              <w:top w:val="single" w:color="auto" w:sz="4" w:space="0"/>
              <w:left w:val="single" w:color="auto" w:sz="4" w:space="0"/>
              <w:bottom w:val="single" w:color="auto" w:sz="4" w:space="0"/>
            </w:tcBorders>
            <w:noWrap w:val="0"/>
            <w:vAlign w:val="top"/>
          </w:tcPr>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jc w:val="center"/>
              <w:rPr>
                <w:rFonts w:ascii="仿宋_GB2312"/>
                <w:sz w:val="24"/>
              </w:rPr>
            </w:pPr>
            <w:r>
              <w:rPr>
                <w:rFonts w:hint="eastAsia" w:ascii="仿宋_GB2312" w:hAnsi="仿宋"/>
                <w:sz w:val="24"/>
              </w:rPr>
              <w:t>政治</w:t>
            </w:r>
          </w:p>
          <w:p>
            <w:pPr>
              <w:spacing w:line="360" w:lineRule="exact"/>
              <w:jc w:val="center"/>
              <w:rPr>
                <w:rFonts w:ascii="仿宋_GB2312"/>
                <w:sz w:val="24"/>
              </w:rPr>
            </w:pPr>
          </w:p>
          <w:p>
            <w:pPr>
              <w:spacing w:line="360" w:lineRule="exact"/>
              <w:jc w:val="center"/>
              <w:rPr>
                <w:rFonts w:ascii="仿宋_GB2312"/>
                <w:sz w:val="24"/>
              </w:rPr>
            </w:pPr>
            <w:r>
              <w:rPr>
                <w:rFonts w:hint="eastAsia" w:ascii="仿宋_GB2312" w:hAnsi="仿宋"/>
                <w:sz w:val="24"/>
              </w:rPr>
              <w:t>外语</w:t>
            </w:r>
          </w:p>
          <w:p>
            <w:pPr>
              <w:spacing w:line="360" w:lineRule="exact"/>
              <w:jc w:val="center"/>
              <w:rPr>
                <w:rFonts w:ascii="仿宋_GB2312"/>
                <w:sz w:val="24"/>
              </w:rPr>
            </w:pPr>
          </w:p>
          <w:p>
            <w:pPr>
              <w:spacing w:line="360" w:lineRule="exact"/>
              <w:jc w:val="center"/>
              <w:rPr>
                <w:rFonts w:ascii="仿宋_GB2312"/>
                <w:sz w:val="24"/>
              </w:rPr>
            </w:pPr>
            <w:r>
              <w:rPr>
                <w:rFonts w:hint="eastAsia" w:ascii="仿宋_GB2312" w:hAnsi="仿宋"/>
                <w:sz w:val="24"/>
              </w:rPr>
              <w:t>大学语文</w:t>
            </w: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tc>
      </w:tr>
    </w:tbl>
    <w:p>
      <w:pPr>
        <w:spacing w:line="360" w:lineRule="exact"/>
        <w:rPr>
          <w:rFonts w:eastAsia="仿宋"/>
          <w:sz w:val="24"/>
        </w:rPr>
      </w:pPr>
    </w:p>
    <w:p>
      <w:pPr>
        <w:spacing w:line="360" w:lineRule="exact"/>
        <w:rPr>
          <w:rFonts w:ascii="黑体" w:hAnsi="黑体" w:eastAsia="黑体"/>
          <w:sz w:val="28"/>
          <w:szCs w:val="28"/>
        </w:rPr>
      </w:pPr>
      <w:r>
        <w:rPr>
          <w:rFonts w:hint="eastAsia" w:ascii="黑体" w:hAnsi="黑体" w:eastAsia="黑体"/>
          <w:bCs/>
          <w:sz w:val="28"/>
          <w:szCs w:val="28"/>
        </w:rPr>
        <w:t>二、艺术类</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506"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sz w:val="24"/>
                <w:szCs w:val="24"/>
              </w:rPr>
            </w:pPr>
            <w:r>
              <w:rPr>
                <w:rFonts w:hAnsi="宋体" w:cs="宋体"/>
                <w:b/>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sz w:val="24"/>
                <w:szCs w:val="24"/>
              </w:rPr>
            </w:pPr>
            <w:r>
              <w:rPr>
                <w:rFonts w:hAnsi="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网络与新媒体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050307</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艺术史论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130102</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艺术管理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音乐表演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130202</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作曲与作曲技术理论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130204</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舞蹈学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130206</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130302</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戏剧学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130304</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戏剧影视文学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广播电视编导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130306</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戏剧影视导演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戏剧影视美术设计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130308</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录音艺术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播音与主持艺术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130310</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130311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影视摄影与制作</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130401</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绘画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130403</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摄影</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130405</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书法学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中国画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130407</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实验艺术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跨媒体艺术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130409</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文物保护与修复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漫画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130501</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艺术设计学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视觉传达设计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130503</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产品设计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130505</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公共艺术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130507</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数字媒体艺术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130509</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陶瓷艺术设计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130511</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新媒体艺术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80" w:type="dxa"/>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130512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包装设计</w:t>
                  </w:r>
                </w:p>
              </w:tc>
            </w:tr>
          </w:tbl>
          <w:p>
            <w:pPr>
              <w:pStyle w:val="2"/>
              <w:spacing w:line="360" w:lineRule="exact"/>
              <w:ind w:left="-5" w:leftChars="-2" w:hanging="1"/>
              <w:jc w:val="left"/>
              <w:rPr>
                <w:rFonts w:hint="default" w:ascii="Times New Roman" w:hAnsi="Times New Roman" w:eastAsia="仿宋"/>
                <w:bCs/>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艺术概论</w:t>
            </w:r>
          </w:p>
        </w:tc>
      </w:tr>
    </w:tbl>
    <w:p>
      <w:pPr>
        <w:spacing w:line="360" w:lineRule="exact"/>
        <w:rPr>
          <w:rFonts w:eastAsia="仿宋"/>
          <w:sz w:val="24"/>
        </w:rPr>
      </w:pPr>
    </w:p>
    <w:p>
      <w:pPr>
        <w:spacing w:line="360" w:lineRule="exact"/>
        <w:rPr>
          <w:rFonts w:ascii="黑体" w:hAnsi="黑体" w:eastAsia="黑体"/>
          <w:sz w:val="28"/>
          <w:szCs w:val="28"/>
        </w:rPr>
      </w:pPr>
      <w:r>
        <w:rPr>
          <w:rFonts w:hint="eastAsia" w:ascii="黑体" w:hAnsi="黑体" w:eastAsia="黑体"/>
          <w:sz w:val="28"/>
          <w:szCs w:val="28"/>
        </w:rPr>
        <w:t>三、工学、理学</w:t>
      </w:r>
      <w:r>
        <w:rPr>
          <w:rFonts w:ascii="黑体" w:hAnsi="黑体" w:eastAsia="黑体"/>
          <w:sz w:val="28"/>
          <w:szCs w:val="28"/>
        </w:rPr>
        <w:t>(</w:t>
      </w:r>
      <w:r>
        <w:rPr>
          <w:rFonts w:hint="eastAsia" w:ascii="黑体" w:hAnsi="黑体" w:eastAsia="黑体"/>
          <w:sz w:val="28"/>
          <w:szCs w:val="28"/>
        </w:rPr>
        <w:t>生物科学类、地理科学类、心理学类等除外</w:t>
      </w:r>
      <w:r>
        <w:rPr>
          <w:rFonts w:ascii="黑体" w:hAnsi="黑体" w:eastAsia="黑体"/>
          <w:sz w:val="28"/>
          <w:szCs w:val="28"/>
        </w:rPr>
        <w:t>)</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6"/>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506" w:type="dxa"/>
            <w:noWrap w:val="0"/>
            <w:vAlign w:val="center"/>
          </w:tcPr>
          <w:p>
            <w:pPr>
              <w:pStyle w:val="2"/>
              <w:spacing w:line="360" w:lineRule="exact"/>
              <w:jc w:val="center"/>
              <w:rPr>
                <w:rFonts w:hint="default" w:hAnsi="宋体" w:cs="宋体"/>
                <w:b/>
                <w:sz w:val="24"/>
                <w:szCs w:val="24"/>
              </w:rPr>
            </w:pPr>
            <w:r>
              <w:rPr>
                <w:rFonts w:hAnsi="宋体" w:cs="宋体"/>
                <w:b/>
                <w:sz w:val="24"/>
                <w:szCs w:val="24"/>
              </w:rPr>
              <w:t>招    生    专    业</w:t>
            </w:r>
          </w:p>
        </w:tc>
        <w:tc>
          <w:tcPr>
            <w:tcW w:w="963" w:type="dxa"/>
            <w:noWrap w:val="0"/>
            <w:vAlign w:val="top"/>
          </w:tcPr>
          <w:p>
            <w:pPr>
              <w:pStyle w:val="2"/>
              <w:spacing w:line="360" w:lineRule="exact"/>
              <w:jc w:val="center"/>
              <w:rPr>
                <w:rFonts w:hint="default" w:hAnsi="宋体" w:cs="宋体"/>
                <w:b/>
                <w:sz w:val="24"/>
                <w:szCs w:val="24"/>
              </w:rPr>
            </w:pPr>
            <w:r>
              <w:rPr>
                <w:rFonts w:hAnsi="宋体" w:cs="宋体"/>
                <w:b/>
                <w:sz w:val="24"/>
                <w:szCs w:val="24"/>
              </w:rPr>
              <w:t>统考</w:t>
            </w:r>
          </w:p>
          <w:p>
            <w:pPr>
              <w:pStyle w:val="2"/>
              <w:spacing w:line="360" w:lineRule="exact"/>
              <w:jc w:val="center"/>
              <w:rPr>
                <w:rFonts w:hint="default" w:hAnsi="宋体" w:cs="宋体"/>
                <w:b/>
                <w:sz w:val="24"/>
                <w:szCs w:val="24"/>
              </w:rPr>
            </w:pPr>
            <w:r>
              <w:rPr>
                <w:rFonts w:hAnsi="宋体" w:cs="宋体"/>
                <w:b/>
                <w:sz w:val="24"/>
                <w:szCs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6" w:type="dxa"/>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64"/>
              <w:gridCol w:w="98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070101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数学与应用数学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070102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070103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数理基础科学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070201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070202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应用物理学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070203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070204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声学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070301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070302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应用化学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070303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070304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分子科学与工程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070305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能源化学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070401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天文学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070601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070602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应用气象学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070701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070702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070703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070704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军事海洋学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070801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070802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空间科学与技术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070901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070902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地球化学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070904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古生物学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整合科学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080101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理论与应用力学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080102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机械工程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材料成型及控制工程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工业设计</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车辆工程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汽车服务工程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080210</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微机电系统工程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080301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材料科学与工程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材料化学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金属材料工程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无机非金属材料工程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高分子材料与工程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复合材料与工程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080409</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粉体材料科学与工程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080410</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宝石及材料工艺学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焊接技术与工程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纳米材料与技术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新能源材料与器件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080415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材料设计科学与工程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080501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能源与动力工程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080502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能源与环境系统工程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080503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新能源科学与工程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电气工程及其自动化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智能电网信息工程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光源与照明</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电气工程与智能控制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电机电器智能化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080606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电子信息工程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通信工程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微电子科学与工程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光电信息科学与工程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广播电视工程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080709</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电子封装技术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080710</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集成电路设计与集成系统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医学信息工程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电磁场与无线技术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电波传播与天线</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电子信息科学与技术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电信工程及管理</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080716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应用电子技术教育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080801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自动化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080802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080803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机器人工程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080804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邮政工程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计算机科学与技术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网络工程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物联网工程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数字媒体技术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智能科学与技术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080909</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电子与计算机工程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080910</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080911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网络空间安全</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080912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新媒体技术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080913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电影制作</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建筑环境与能源应用工程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给排水科学与工程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建筑电气与智能化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城市地下空间工程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道路桥梁与渡河工程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081007</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081101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水利水电工程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081102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081103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港口航道与海岸工程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081104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081105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水利科学与工程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081201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081202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遥感科学与技术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081203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081204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地理国情监测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081205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地理空间信息工程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081301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化学工程与工艺</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081302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081303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资源循环科学与工程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081304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能源化学工程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081305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化学工程与工业生物工程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081401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081402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勘查技术与工程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081403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081404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地下水科学与工程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石油工程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油气储运工程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矿物资源工程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081506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海洋油气工程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081601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081602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服装设计与工程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081603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非织造材料与工程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081604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服装设计与工艺教育</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081605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丝绸设计与工程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081701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轻化工程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081702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081703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印刷工程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081704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香料香精技术与工程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交通运输</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航海技术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交通设备与控制工程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救助与打捞工程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081808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081901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船舶与海洋工程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081902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081903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海洋资源开发技术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航空航天工程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飞行器设计与工程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飞行器动力工程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飞行器环境与生命保障工程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飞行器质量与可靠性</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082007</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飞行器适航技术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082008</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飞行器控制与信息工程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082009</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无人驾驶航空器系统工程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武器系统与工程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武器发射工程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探测制导与控制技术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弹药工程与爆炸技术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特种能源技术与工程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082106</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装甲车辆工程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082107</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信息对抗技术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082201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核工程与核技术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082202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辐射防护与核安全</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082203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工程物理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082204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核化工与核燃料工程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农业机械化及其自动化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农业电气化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农业建筑环境与能源工程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农业水利工程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082306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土地整治工程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082401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082402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木材科学与工程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082403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林产化工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环境科学与工程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082505</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环保设备工程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082507</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水质科学与技术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082601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生物医学工程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082602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假肢矫形工程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082603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临床工程技术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食品质量与安全</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乳品工程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酿酒工程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葡萄与葡萄酒工程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082709</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食品安全与检测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082801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建筑学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082802</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082803</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风景园林</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082804</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082901</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安全工程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083001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083002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生物制药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083101</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刑事科学技术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083102</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消防工程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083103</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交通管理工程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083104</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安全防范工程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083105</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公安视听技术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抢险救援指挥与技术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083108</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网络安全与执法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083109</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核生化消防</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083110</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海警舰艇指挥与技术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852" w:type="dxa"/>
                <w:trHeight w:val="270" w:hRule="atLeast"/>
              </w:trPr>
              <w:tc>
                <w:tcPr>
                  <w:tcW w:w="9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120106</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保密管理</w:t>
                  </w:r>
                </w:p>
              </w:tc>
            </w:tr>
          </w:tbl>
          <w:p/>
        </w:tc>
        <w:tc>
          <w:tcPr>
            <w:tcW w:w="963" w:type="dxa"/>
            <w:noWrap w:val="0"/>
            <w:vAlign w:val="top"/>
          </w:tcPr>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widowControl/>
              <w:spacing w:line="360" w:lineRule="exact"/>
              <w:jc w:val="left"/>
              <w:rPr>
                <w:rFonts w:eastAsia="仿宋"/>
                <w:bCs/>
                <w:sz w:val="24"/>
              </w:rPr>
            </w:pPr>
            <w:r>
              <w:rPr>
                <w:rFonts w:hint="eastAsia" w:hAnsi="仿宋" w:eastAsia="仿宋"/>
                <w:bCs/>
                <w:sz w:val="24"/>
              </w:rPr>
              <w:t>高数（一）</w:t>
            </w: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widowControl/>
              <w:spacing w:line="360" w:lineRule="exact"/>
              <w:jc w:val="left"/>
              <w:rPr>
                <w:rFonts w:eastAsia="仿宋"/>
                <w:bCs/>
                <w:sz w:val="24"/>
              </w:rPr>
            </w:pPr>
            <w:r>
              <w:rPr>
                <w:rFonts w:hint="eastAsia" w:hAnsi="仿宋" w:eastAsia="仿宋"/>
                <w:bCs/>
                <w:sz w:val="24"/>
              </w:rPr>
              <w:t>高数（一）</w:t>
            </w: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widowControl/>
              <w:spacing w:line="360" w:lineRule="exact"/>
              <w:jc w:val="left"/>
              <w:rPr>
                <w:rFonts w:eastAsia="仿宋"/>
                <w:bCs/>
                <w:sz w:val="24"/>
              </w:rPr>
            </w:pPr>
            <w:r>
              <w:rPr>
                <w:rFonts w:hint="eastAsia" w:hAnsi="仿宋" w:eastAsia="仿宋"/>
                <w:bCs/>
                <w:sz w:val="24"/>
              </w:rPr>
              <w:t>高数（一）</w:t>
            </w:r>
          </w:p>
        </w:tc>
      </w:tr>
    </w:tbl>
    <w:p>
      <w:pPr>
        <w:spacing w:line="360" w:lineRule="exact"/>
        <w:rPr>
          <w:rFonts w:eastAsia="仿宋"/>
          <w:sz w:val="24"/>
        </w:rPr>
      </w:pPr>
    </w:p>
    <w:p>
      <w:pPr>
        <w:pStyle w:val="2"/>
        <w:spacing w:line="360" w:lineRule="exact"/>
        <w:jc w:val="left"/>
        <w:rPr>
          <w:rFonts w:hint="default" w:ascii="黑体" w:hAnsi="黑体" w:eastAsia="黑体"/>
          <w:w w:val="98"/>
          <w:sz w:val="28"/>
          <w:szCs w:val="28"/>
        </w:rPr>
      </w:pPr>
      <w:r>
        <w:rPr>
          <w:rFonts w:ascii="黑体" w:hAnsi="黑体" w:eastAsia="黑体"/>
          <w:w w:val="98"/>
          <w:sz w:val="28"/>
          <w:szCs w:val="28"/>
        </w:rPr>
        <w:t>四、经济学、管理学以及生物科学类、地理科学类、心理学类、药学类等</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1"/>
        <w:gridCol w:w="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21"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sz w:val="24"/>
                <w:szCs w:val="24"/>
              </w:rPr>
            </w:pPr>
            <w:r>
              <w:rPr>
                <w:rFonts w:hAnsi="宋体" w:cs="宋体"/>
                <w:b/>
                <w:sz w:val="24"/>
                <w:szCs w:val="24"/>
              </w:rPr>
              <w:t>招    生    专    业</w:t>
            </w:r>
          </w:p>
        </w:tc>
        <w:tc>
          <w:tcPr>
            <w:tcW w:w="879"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sz w:val="24"/>
                <w:szCs w:val="24"/>
              </w:rPr>
            </w:pPr>
            <w:r>
              <w:rPr>
                <w:rFonts w:hAnsi="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521"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经济统计学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国民经济管理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商务经济学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能源经济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020107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劳动经济学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w:t>
                  </w:r>
                  <w:r>
                    <w:rPr>
                      <w:rFonts w:hint="eastAsia" w:ascii="仿宋_GB2312"/>
                      <w:kern w:val="0"/>
                      <w:sz w:val="24"/>
                    </w:rPr>
                    <w:t>2020</w:t>
                  </w:r>
                  <w:r>
                    <w:rPr>
                      <w:rFonts w:ascii="仿宋_GB2312"/>
                      <w:kern w:val="0"/>
                      <w:sz w:val="24"/>
                    </w:rPr>
                    <w:t>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w:t>
                  </w:r>
                  <w:r>
                    <w:rPr>
                      <w:rFonts w:hint="eastAsia" w:ascii="仿宋_GB2312"/>
                      <w:kern w:val="0"/>
                      <w:sz w:val="24"/>
                    </w:rPr>
                    <w:t>2020</w:t>
                  </w:r>
                  <w:r>
                    <w:rPr>
                      <w:rFonts w:ascii="仿宋_GB2312"/>
                      <w:kern w:val="0"/>
                      <w:sz w:val="24"/>
                    </w:rPr>
                    <w:t>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税收学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金融工程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投资学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金融数学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信用管理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精算学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020309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020401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国际经济与贸易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020402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自然地理与资源环境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人文地理与城乡规划</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070903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地球信息科学与技术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生态学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应用心理学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071201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071202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应用统计学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机械工艺技术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机电技术教育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汽车维修工程教育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资源环境科学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食品营养与检验教育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082708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烹饪与营养教育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090110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090111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园艺教育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090403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动植物检疫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临床药学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药物分析</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100707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海洋药学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100802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管理科学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信息管理与信息系统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房地产开发与管理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工程造价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120107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邮政管理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工商管理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会计学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国际商务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审计学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8</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w:t>
                  </w:r>
                  <w:r>
                    <w:rPr>
                      <w:rFonts w:hint="eastAsia" w:ascii="仿宋_GB2312"/>
                      <w:kern w:val="0"/>
                      <w:sz w:val="24"/>
                    </w:rPr>
                    <w:t>2020</w:t>
                  </w:r>
                  <w:r>
                    <w:rPr>
                      <w:rFonts w:ascii="仿宋_GB2312"/>
                      <w:kern w:val="0"/>
                      <w:sz w:val="24"/>
                    </w:rPr>
                    <w:t>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物业管理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劳动关系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体育经济与管理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财务会计教育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市场营销教育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120215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零售业管理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农村区域发展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行政管理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劳动与社会保障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土地资源管理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海关管理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公共关系学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健康服务与管理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120411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海警后勤管理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图书馆学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信息资源管理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120601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120602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物流工程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120603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工业工程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标准化工程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质量管理工程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120801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120802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电子商务及法律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120901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120902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酒店管理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120903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会展经济与管理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120904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旅游管理与服务教育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320101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4</w:t>
                  </w:r>
                  <w:r>
                    <w:rPr>
                      <w:rFonts w:hint="eastAsia" w:ascii="仿宋_GB2312"/>
                      <w:kern w:val="0"/>
                      <w:sz w:val="24"/>
                    </w:rPr>
                    <w:t>2020</w:t>
                  </w:r>
                  <w:r>
                    <w:rPr>
                      <w:rFonts w:ascii="仿宋_GB2312"/>
                      <w:kern w:val="0"/>
                      <w:sz w:val="24"/>
                    </w:rPr>
                    <w:t>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网络营销与管理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420401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城市公共安全管理</w:t>
                  </w:r>
                </w:p>
              </w:tc>
            </w:tr>
          </w:tbl>
          <w:p>
            <w:pPr>
              <w:pStyle w:val="2"/>
              <w:spacing w:line="360" w:lineRule="exact"/>
              <w:ind w:left="-6" w:leftChars="-2" w:firstLine="1"/>
              <w:jc w:val="left"/>
              <w:rPr>
                <w:rFonts w:hint="default" w:ascii="Times New Roman" w:hAnsi="Times New Roman" w:eastAsia="仿宋"/>
                <w:sz w:val="24"/>
                <w:szCs w:val="24"/>
              </w:rPr>
            </w:pPr>
          </w:p>
        </w:tc>
        <w:tc>
          <w:tcPr>
            <w:tcW w:w="879"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pStyle w:val="2"/>
              <w:spacing w:line="360" w:lineRule="exact"/>
              <w:jc w:val="left"/>
              <w:rPr>
                <w:rFonts w:hint="default" w:ascii="Times New Roman" w:hAnsi="Times New Roman" w:eastAsia="仿宋"/>
                <w:bCs/>
                <w:sz w:val="24"/>
                <w:szCs w:val="24"/>
              </w:rPr>
            </w:pPr>
            <w:r>
              <w:rPr>
                <w:rFonts w:ascii="Times New Roman" w:hAnsi="仿宋" w:eastAsia="仿宋"/>
                <w:bCs/>
                <w:sz w:val="24"/>
                <w:szCs w:val="24"/>
              </w:rPr>
              <w:t>高数（二）</w:t>
            </w: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pStyle w:val="2"/>
              <w:spacing w:line="360" w:lineRule="exact"/>
              <w:jc w:val="left"/>
              <w:rPr>
                <w:rFonts w:hint="default" w:ascii="Times New Roman" w:hAnsi="Times New Roman" w:eastAsia="仿宋"/>
                <w:sz w:val="24"/>
                <w:szCs w:val="24"/>
              </w:rPr>
            </w:pPr>
            <w:r>
              <w:rPr>
                <w:rFonts w:ascii="Times New Roman" w:hAnsi="仿宋" w:eastAsia="仿宋"/>
                <w:bCs/>
                <w:sz w:val="24"/>
                <w:szCs w:val="24"/>
              </w:rPr>
              <w:t>高数（二）</w:t>
            </w:r>
          </w:p>
        </w:tc>
      </w:tr>
    </w:tbl>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黑体" w:hAnsi="黑体" w:eastAsia="黑体"/>
          <w:bCs/>
          <w:sz w:val="28"/>
          <w:szCs w:val="28"/>
        </w:rPr>
      </w:pPr>
      <w:r>
        <w:rPr>
          <w:rFonts w:ascii="黑体" w:hAnsi="黑体" w:eastAsia="黑体"/>
          <w:bCs/>
          <w:sz w:val="28"/>
          <w:szCs w:val="28"/>
        </w:rPr>
        <w:t>五、法学</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506"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bCs/>
                <w:sz w:val="24"/>
                <w:szCs w:val="24"/>
              </w:rPr>
            </w:pPr>
            <w:r>
              <w:rPr>
                <w:rFonts w:hAnsi="宋体" w:cs="宋体"/>
                <w:b/>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bCs/>
                <w:sz w:val="24"/>
                <w:szCs w:val="24"/>
              </w:rPr>
            </w:pPr>
            <w:r>
              <w:rPr>
                <w:rFonts w:hAnsi="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法学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030102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监狱学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030201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政治学与行政学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国际政治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030203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国际事务与国际关系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030205</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政治学、经济学与哲学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社会学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030302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人类学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030304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女性学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家政学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030501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科学社会主义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中国共产党历史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030503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治安学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边防管理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禁毒学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警犬技术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经济犯罪侦查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边防指挥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030608</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消防指挥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警卫学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030610</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公安情报学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犯罪学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公安管理学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涉外警务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国内安全保卫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警务指挥与战术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技术侦查学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030617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海警执法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083107</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火灾勘查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63" w:type="dxa"/>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ascii="仿宋_GB2312"/>
                      <w:kern w:val="0"/>
                      <w:sz w:val="24"/>
                    </w:rPr>
                    <w:t>330101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kern w:val="0"/>
                      <w:sz w:val="24"/>
                    </w:rPr>
                  </w:pPr>
                  <w:r>
                    <w:rPr>
                      <w:rFonts w:hint="eastAsia" w:ascii="仿宋_GB2312" w:hAnsi="仿宋"/>
                      <w:kern w:val="0"/>
                      <w:sz w:val="24"/>
                    </w:rPr>
                    <w:t>监所管理</w:t>
                  </w:r>
                </w:p>
              </w:tc>
            </w:tr>
          </w:tbl>
          <w:p>
            <w:pPr>
              <w:pStyle w:val="2"/>
              <w:spacing w:line="360" w:lineRule="exact"/>
              <w:jc w:val="left"/>
              <w:rPr>
                <w:rFonts w:hint="default" w:ascii="仿宋_GB2312" w:hAnsi="Times New Roman" w:eastAsia="仿宋_GB2312"/>
                <w:bCs/>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政治</w:t>
            </w:r>
          </w:p>
          <w:p>
            <w:pPr>
              <w:pStyle w:val="2"/>
              <w:spacing w:line="360" w:lineRule="exact"/>
              <w:jc w:val="center"/>
              <w:rPr>
                <w:rFonts w:hint="default" w:ascii="仿宋_GB2312" w:hAnsi="Times New Roman" w:eastAsia="仿宋_GB2312"/>
                <w:sz w:val="24"/>
                <w:szCs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外语</w:t>
            </w:r>
          </w:p>
          <w:p>
            <w:pPr>
              <w:pStyle w:val="2"/>
              <w:spacing w:line="360" w:lineRule="exact"/>
              <w:jc w:val="center"/>
              <w:rPr>
                <w:rFonts w:hint="default" w:ascii="仿宋_GB2312" w:hAnsi="Times New Roman" w:eastAsia="仿宋_GB2312"/>
                <w:sz w:val="24"/>
                <w:szCs w:val="24"/>
              </w:rPr>
            </w:pPr>
          </w:p>
          <w:p>
            <w:pPr>
              <w:pStyle w:val="2"/>
              <w:spacing w:line="360" w:lineRule="exact"/>
              <w:jc w:val="center"/>
              <w:rPr>
                <w:rFonts w:hint="default" w:ascii="仿宋_GB2312" w:hAnsi="Times New Roman" w:eastAsia="仿宋_GB2312"/>
                <w:bCs/>
                <w:sz w:val="24"/>
                <w:szCs w:val="24"/>
              </w:rPr>
            </w:pPr>
            <w:r>
              <w:rPr>
                <w:rFonts w:ascii="仿宋_GB2312" w:hAnsi="仿宋" w:eastAsia="仿宋_GB2312"/>
                <w:sz w:val="24"/>
                <w:szCs w:val="24"/>
              </w:rPr>
              <w:t>民法</w:t>
            </w:r>
          </w:p>
        </w:tc>
      </w:tr>
    </w:tbl>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黑体" w:hAnsi="黑体" w:eastAsia="黑体"/>
          <w:bCs/>
          <w:sz w:val="28"/>
          <w:szCs w:val="28"/>
        </w:rPr>
      </w:pPr>
      <w:r>
        <w:rPr>
          <w:rFonts w:ascii="黑体" w:hAnsi="黑体" w:eastAsia="黑体"/>
          <w:bCs/>
          <w:sz w:val="28"/>
          <w:szCs w:val="28"/>
        </w:rPr>
        <w:t>六、教育学</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91"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bCs/>
                <w:sz w:val="24"/>
                <w:szCs w:val="24"/>
              </w:rPr>
            </w:pPr>
            <w:r>
              <w:rPr>
                <w:rFonts w:hAnsi="宋体" w:cs="宋体"/>
                <w:b/>
                <w:sz w:val="24"/>
                <w:szCs w:val="24"/>
              </w:rPr>
              <w:t>招    生    专    业</w:t>
            </w:r>
          </w:p>
        </w:tc>
        <w:tc>
          <w:tcPr>
            <w:tcW w:w="950"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sz w:val="24"/>
                <w:szCs w:val="24"/>
              </w:rPr>
            </w:pPr>
            <w:r>
              <w:rPr>
                <w:rFonts w:hAnsi="宋体" w:cs="宋体"/>
                <w:b/>
                <w:sz w:val="24"/>
                <w:szCs w:val="24"/>
              </w:rPr>
              <w:t>统考</w:t>
            </w:r>
          </w:p>
          <w:p>
            <w:pPr>
              <w:pStyle w:val="2"/>
              <w:spacing w:line="360" w:lineRule="exact"/>
              <w:jc w:val="center"/>
              <w:rPr>
                <w:rFonts w:hint="default" w:hAnsi="宋体" w:cs="宋体"/>
                <w:b/>
                <w:bCs/>
                <w:sz w:val="24"/>
                <w:szCs w:val="24"/>
              </w:rPr>
            </w:pPr>
            <w:r>
              <w:rPr>
                <w:rFonts w:hAnsi="宋体" w:cs="宋体"/>
                <w:b/>
                <w:sz w:val="24"/>
                <w:szCs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教育学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040102</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人文教育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040104</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艺术教育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040106</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小学教育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040108</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华文教育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040110</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040111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卫生教育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040201</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运动训练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040203</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武术与民族传统体育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040205</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运动康复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040207</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休闲体育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340101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教育管理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340102</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78" w:type="dxa"/>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340103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双语教育</w:t>
                  </w:r>
                </w:p>
              </w:tc>
            </w:tr>
          </w:tbl>
          <w:p>
            <w:pPr>
              <w:pStyle w:val="2"/>
              <w:spacing w:line="360" w:lineRule="exact"/>
              <w:jc w:val="left"/>
              <w:rPr>
                <w:rFonts w:hint="default" w:ascii="仿宋_GB2312" w:hAnsi="Times New Roman" w:eastAsia="仿宋_GB2312"/>
                <w:bCs/>
                <w:sz w:val="24"/>
                <w:szCs w:val="24"/>
              </w:rPr>
            </w:pPr>
          </w:p>
        </w:tc>
        <w:tc>
          <w:tcPr>
            <w:tcW w:w="950"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ascii="仿宋_GB2312" w:hAnsi="Times New Roman" w:eastAsia="仿宋_GB2312"/>
                <w:sz w:val="24"/>
                <w:szCs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政治</w:t>
            </w:r>
          </w:p>
          <w:p>
            <w:pPr>
              <w:pStyle w:val="2"/>
              <w:spacing w:line="360" w:lineRule="exact"/>
              <w:jc w:val="center"/>
              <w:rPr>
                <w:rFonts w:hint="default" w:ascii="仿宋_GB2312" w:hAnsi="Times New Roman" w:eastAsia="仿宋_GB2312"/>
                <w:sz w:val="24"/>
                <w:szCs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外语</w:t>
            </w:r>
          </w:p>
          <w:p>
            <w:pPr>
              <w:widowControl/>
              <w:spacing w:line="360" w:lineRule="exact"/>
              <w:jc w:val="center"/>
              <w:rPr>
                <w:rFonts w:ascii="仿宋_GB2312"/>
                <w:sz w:val="24"/>
              </w:rPr>
            </w:pPr>
          </w:p>
          <w:p>
            <w:pPr>
              <w:widowControl/>
              <w:spacing w:line="360" w:lineRule="exact"/>
              <w:jc w:val="center"/>
              <w:rPr>
                <w:rFonts w:ascii="仿宋_GB2312"/>
                <w:bCs/>
                <w:sz w:val="24"/>
              </w:rPr>
            </w:pPr>
            <w:r>
              <w:rPr>
                <w:rFonts w:hint="eastAsia" w:ascii="仿宋_GB2312" w:hAnsi="仿宋"/>
                <w:sz w:val="24"/>
              </w:rPr>
              <w:t>教育理论</w:t>
            </w:r>
          </w:p>
        </w:tc>
      </w:tr>
    </w:tbl>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黑体" w:hAnsi="黑体" w:eastAsia="黑体"/>
          <w:bCs/>
          <w:sz w:val="28"/>
          <w:szCs w:val="28"/>
        </w:rPr>
      </w:pPr>
      <w:r>
        <w:rPr>
          <w:rFonts w:ascii="黑体" w:hAnsi="黑体" w:eastAsia="黑体"/>
          <w:bCs/>
          <w:sz w:val="28"/>
          <w:szCs w:val="28"/>
        </w:rPr>
        <w:t>七、农学</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491"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bCs/>
                <w:sz w:val="24"/>
                <w:szCs w:val="24"/>
              </w:rPr>
            </w:pPr>
            <w:r>
              <w:rPr>
                <w:rFonts w:hAnsi="宋体" w:cs="宋体"/>
                <w:b/>
                <w:sz w:val="24"/>
                <w:szCs w:val="24"/>
              </w:rPr>
              <w:t>招    生    专    业</w:t>
            </w:r>
          </w:p>
        </w:tc>
        <w:tc>
          <w:tcPr>
            <w:tcW w:w="909"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bCs/>
                <w:sz w:val="24"/>
                <w:szCs w:val="24"/>
              </w:rPr>
            </w:pPr>
            <w:r>
              <w:rPr>
                <w:rFonts w:hAnsi="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03"/>
              <w:gridCol w:w="1087"/>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农学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植物保护</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植物科学与技术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090105</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种子科学与工程</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设施农业科学与工程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090107</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茶学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090109</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应用生物科学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090201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农业资源与环境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090202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野生动物与自然保护区管理</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090203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090301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动物科学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090302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090303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蜂学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090401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090402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动物药学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090501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090502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园林</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090503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森林保护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090601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水产养殖学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090602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海洋渔业科学与技术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090603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水族科学与技术</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090604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488" w:type="dxa"/>
                <w:trHeight w:val="270"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090701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草业科学</w:t>
                  </w:r>
                </w:p>
              </w:tc>
            </w:tr>
          </w:tbl>
          <w:p>
            <w:pPr>
              <w:pStyle w:val="2"/>
              <w:spacing w:line="360" w:lineRule="exact"/>
              <w:ind w:left="37"/>
              <w:jc w:val="left"/>
              <w:rPr>
                <w:rFonts w:hint="default" w:ascii="Times New Roman" w:hAnsi="Times New Roman" w:eastAsia="仿宋"/>
                <w:bCs/>
                <w:sz w:val="24"/>
                <w:szCs w:val="24"/>
              </w:rPr>
            </w:pPr>
          </w:p>
        </w:tc>
        <w:tc>
          <w:tcPr>
            <w:tcW w:w="909" w:type="dxa"/>
            <w:tcBorders>
              <w:top w:val="single" w:color="auto" w:sz="4" w:space="0"/>
              <w:left w:val="single" w:color="auto" w:sz="4" w:space="0"/>
              <w:bottom w:val="single" w:color="auto" w:sz="4" w:space="0"/>
            </w:tcBorders>
            <w:noWrap w:val="0"/>
            <w:vAlign w:val="top"/>
          </w:tcPr>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pStyle w:val="2"/>
              <w:spacing w:line="360" w:lineRule="exact"/>
              <w:ind w:left="-76" w:leftChars="-71" w:right="-333" w:rightChars="-104" w:hanging="151" w:hangingChars="63"/>
              <w:jc w:val="center"/>
              <w:rPr>
                <w:rFonts w:hint="default" w:ascii="Times New Roman" w:hAnsi="Times New Roman" w:eastAsia="仿宋"/>
                <w:sz w:val="24"/>
                <w:szCs w:val="24"/>
              </w:rPr>
            </w:pPr>
            <w:r>
              <w:rPr>
                <w:rFonts w:ascii="Times New Roman" w:hAnsi="仿宋" w:eastAsia="仿宋"/>
                <w:sz w:val="24"/>
                <w:szCs w:val="24"/>
              </w:rPr>
              <w:t>政治</w:t>
            </w:r>
          </w:p>
          <w:p>
            <w:pPr>
              <w:pStyle w:val="2"/>
              <w:spacing w:line="360" w:lineRule="exact"/>
              <w:ind w:left="-76" w:leftChars="-71" w:right="-333" w:rightChars="-104" w:hanging="151" w:hangingChars="63"/>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sz w:val="24"/>
                <w:szCs w:val="24"/>
              </w:rPr>
            </w:pPr>
            <w:r>
              <w:rPr>
                <w:rFonts w:ascii="Times New Roman" w:hAnsi="仿宋" w:eastAsia="仿宋"/>
                <w:sz w:val="24"/>
                <w:szCs w:val="24"/>
              </w:rPr>
              <w:t>外语</w:t>
            </w:r>
          </w:p>
          <w:p>
            <w:pPr>
              <w:pStyle w:val="2"/>
              <w:spacing w:line="360" w:lineRule="exact"/>
              <w:jc w:val="center"/>
              <w:rPr>
                <w:rFonts w:hint="default" w:ascii="Times New Roman" w:hAnsi="Times New Roman" w:eastAsia="仿宋"/>
                <w:sz w:val="24"/>
                <w:szCs w:val="24"/>
              </w:rPr>
            </w:pPr>
          </w:p>
          <w:p>
            <w:pPr>
              <w:pStyle w:val="2"/>
              <w:spacing w:line="360" w:lineRule="exact"/>
              <w:jc w:val="center"/>
              <w:rPr>
                <w:rFonts w:hint="default" w:ascii="Times New Roman" w:hAnsi="Times New Roman" w:eastAsia="仿宋"/>
                <w:bCs/>
                <w:sz w:val="24"/>
                <w:szCs w:val="24"/>
              </w:rPr>
            </w:pPr>
            <w:r>
              <w:rPr>
                <w:rFonts w:ascii="Times New Roman" w:hAnsi="仿宋" w:eastAsia="仿宋"/>
                <w:sz w:val="24"/>
                <w:szCs w:val="24"/>
              </w:rPr>
              <w:t>生态学基础</w:t>
            </w:r>
          </w:p>
        </w:tc>
      </w:tr>
    </w:tbl>
    <w:p>
      <w:pPr>
        <w:pStyle w:val="2"/>
        <w:spacing w:line="360" w:lineRule="exact"/>
        <w:jc w:val="left"/>
        <w:rPr>
          <w:rFonts w:hint="default" w:ascii="Times New Roman" w:hAnsi="Times New Roman" w:eastAsia="仿宋"/>
          <w:bCs/>
          <w:sz w:val="24"/>
          <w:szCs w:val="24"/>
        </w:rPr>
      </w:pPr>
    </w:p>
    <w:p>
      <w:pPr>
        <w:pStyle w:val="2"/>
        <w:spacing w:line="360" w:lineRule="exact"/>
        <w:jc w:val="left"/>
        <w:rPr>
          <w:rFonts w:hint="default" w:ascii="黑体" w:hAnsi="黑体" w:eastAsia="黑体"/>
          <w:sz w:val="28"/>
          <w:szCs w:val="28"/>
        </w:rPr>
      </w:pPr>
      <w:r>
        <w:rPr>
          <w:rFonts w:ascii="黑体" w:hAnsi="黑体" w:eastAsia="黑体"/>
          <w:bCs/>
          <w:sz w:val="28"/>
          <w:szCs w:val="28"/>
        </w:rPr>
        <w:t>八、医学</w:t>
      </w:r>
      <w:r>
        <w:rPr>
          <w:rFonts w:ascii="黑体" w:hAnsi="黑体" w:eastAsia="黑体"/>
          <w:sz w:val="28"/>
          <w:szCs w:val="28"/>
        </w:rPr>
        <w:t>（中医学类、药学类等两个一级学科除外）</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6"/>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476" w:type="dxa"/>
            <w:tcBorders>
              <w:top w:val="single" w:color="auto" w:sz="4" w:space="0"/>
              <w:bottom w:val="single" w:color="auto" w:sz="4" w:space="0"/>
              <w:right w:val="single" w:color="auto" w:sz="4" w:space="0"/>
            </w:tcBorders>
            <w:noWrap w:val="0"/>
            <w:vAlign w:val="center"/>
          </w:tcPr>
          <w:p>
            <w:pPr>
              <w:pStyle w:val="2"/>
              <w:spacing w:line="360" w:lineRule="exact"/>
              <w:jc w:val="center"/>
              <w:rPr>
                <w:rFonts w:hint="default" w:hAnsi="宋体" w:cs="宋体"/>
                <w:b/>
                <w:bCs/>
                <w:sz w:val="24"/>
                <w:szCs w:val="24"/>
              </w:rPr>
            </w:pPr>
            <w:r>
              <w:rPr>
                <w:rFonts w:hAnsi="宋体" w:cs="宋体"/>
                <w:b/>
                <w:sz w:val="24"/>
                <w:szCs w:val="24"/>
              </w:rPr>
              <w:t>招    生    专    业</w:t>
            </w:r>
          </w:p>
        </w:tc>
        <w:tc>
          <w:tcPr>
            <w:tcW w:w="924" w:type="dxa"/>
            <w:tcBorders>
              <w:top w:val="single" w:color="auto" w:sz="4" w:space="0"/>
              <w:left w:val="single" w:color="auto" w:sz="4" w:space="0"/>
              <w:bottom w:val="single" w:color="auto" w:sz="4" w:space="0"/>
            </w:tcBorders>
            <w:noWrap w:val="0"/>
            <w:vAlign w:val="top"/>
          </w:tcPr>
          <w:p>
            <w:pPr>
              <w:pStyle w:val="2"/>
              <w:spacing w:line="360" w:lineRule="exact"/>
              <w:jc w:val="center"/>
              <w:rPr>
                <w:rFonts w:hint="default" w:hAnsi="宋体" w:cs="宋体"/>
                <w:b/>
                <w:bCs/>
                <w:sz w:val="24"/>
                <w:szCs w:val="24"/>
              </w:rPr>
            </w:pPr>
            <w:r>
              <w:rPr>
                <w:rFonts w:hAnsi="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76" w:type="dxa"/>
            <w:tcBorders>
              <w:top w:val="single" w:color="auto" w:sz="4" w:space="0"/>
              <w:bottom w:val="single" w:color="auto" w:sz="4" w:space="0"/>
              <w:right w:val="single" w:color="auto" w:sz="4" w:space="0"/>
            </w:tcBorders>
            <w:noWrap w:val="0"/>
            <w:vAlign w:val="top"/>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基础医学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100102</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生物医学科学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麻醉学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眼视光医学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放射医学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100207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口腔医学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100401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食品卫生与营养学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100403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卫生监督</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100405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傣医学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100509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中医康复学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100511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中医儿科学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100601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100901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法医学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医学实验技术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眼视光学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口腔医学技术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卫生检验与检疫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听力与言语康复学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康复物理治疗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101010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康复作业治疗</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101102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助产学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ascii="仿宋_GB2312"/>
                      <w:kern w:val="0"/>
                      <w:sz w:val="24"/>
                    </w:rPr>
                    <w:t>401101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仿宋_GB2312"/>
                      <w:kern w:val="0"/>
                      <w:sz w:val="24"/>
                    </w:rPr>
                  </w:pPr>
                  <w:r>
                    <w:rPr>
                      <w:rFonts w:hint="eastAsia" w:ascii="仿宋_GB2312" w:hAnsi="仿宋"/>
                      <w:kern w:val="0"/>
                      <w:sz w:val="24"/>
                    </w:rPr>
                    <w:t>社区护理学</w:t>
                  </w:r>
                </w:p>
              </w:tc>
            </w:tr>
          </w:tbl>
          <w:p>
            <w:pPr>
              <w:pStyle w:val="2"/>
              <w:spacing w:line="360" w:lineRule="exact"/>
              <w:jc w:val="left"/>
              <w:rPr>
                <w:rFonts w:hint="default" w:ascii="仿宋_GB2312" w:hAnsi="Times New Roman" w:eastAsia="仿宋_GB2312"/>
                <w:bCs/>
                <w:sz w:val="24"/>
                <w:szCs w:val="24"/>
              </w:rPr>
            </w:pPr>
          </w:p>
        </w:tc>
        <w:tc>
          <w:tcPr>
            <w:tcW w:w="924" w:type="dxa"/>
            <w:tcBorders>
              <w:top w:val="single" w:color="auto" w:sz="4" w:space="0"/>
              <w:left w:val="single" w:color="auto" w:sz="4" w:space="0"/>
              <w:bottom w:val="single" w:color="auto" w:sz="4" w:space="0"/>
            </w:tcBorders>
            <w:noWrap w:val="0"/>
            <w:vAlign w:val="top"/>
          </w:tcPr>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政治</w:t>
            </w:r>
          </w:p>
          <w:p>
            <w:pPr>
              <w:pStyle w:val="2"/>
              <w:spacing w:line="360" w:lineRule="exact"/>
              <w:jc w:val="center"/>
              <w:rPr>
                <w:rFonts w:hint="default" w:ascii="仿宋_GB2312" w:hAnsi="Times New Roman" w:eastAsia="仿宋_GB2312"/>
                <w:sz w:val="24"/>
                <w:szCs w:val="24"/>
              </w:rPr>
            </w:pPr>
          </w:p>
          <w:p>
            <w:pPr>
              <w:pStyle w:val="2"/>
              <w:spacing w:line="360" w:lineRule="exact"/>
              <w:jc w:val="center"/>
              <w:rPr>
                <w:rFonts w:hint="default" w:ascii="仿宋_GB2312" w:hAnsi="Times New Roman" w:eastAsia="仿宋_GB2312"/>
                <w:sz w:val="24"/>
                <w:szCs w:val="24"/>
              </w:rPr>
            </w:pPr>
            <w:r>
              <w:rPr>
                <w:rFonts w:ascii="仿宋_GB2312" w:hAnsi="仿宋" w:eastAsia="仿宋_GB2312"/>
                <w:sz w:val="24"/>
                <w:szCs w:val="24"/>
              </w:rPr>
              <w:t>外语</w:t>
            </w:r>
          </w:p>
          <w:p>
            <w:pPr>
              <w:widowControl/>
              <w:spacing w:line="360" w:lineRule="exact"/>
              <w:jc w:val="center"/>
              <w:rPr>
                <w:rFonts w:ascii="仿宋_GB2312"/>
                <w:sz w:val="24"/>
              </w:rPr>
            </w:pPr>
          </w:p>
          <w:p>
            <w:pPr>
              <w:widowControl/>
              <w:spacing w:line="360" w:lineRule="exact"/>
              <w:jc w:val="center"/>
              <w:rPr>
                <w:rFonts w:ascii="仿宋_GB2312"/>
                <w:bCs/>
                <w:sz w:val="24"/>
              </w:rPr>
            </w:pPr>
            <w:r>
              <w:rPr>
                <w:rFonts w:hint="eastAsia" w:ascii="仿宋_GB2312" w:hAnsi="仿宋"/>
                <w:sz w:val="24"/>
              </w:rPr>
              <w:t>医学综合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A4EE7"/>
    <w:multiLevelType w:val="singleLevel"/>
    <w:tmpl w:val="5D5A4EE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323EC"/>
    <w:rsid w:val="56E3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hint="eastAsia" w:ascii="宋体" w:hAnsi="Courier New" w:eastAsia="仿宋" w:cs="Times New Roman"/>
      <w:color w:val="000000"/>
      <w:kern w:val="2"/>
      <w:sz w:val="32"/>
      <w:szCs w:val="20"/>
      <w:lang w:val="en-US" w:eastAsia="zh-CN" w:bidi="ar-SA"/>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2020-09-14T01:14:00Z</dcterms:created>
  <dc:creator>Administrator</dc:creator>
  <cp:lastModifiedBy>Administrator</cp:lastModifiedBy>
  <dcterms:modified xsi:type="dcterms:W3CDTF">2020-09-14T01:14:31Z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